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8BA9" w14:textId="77777777" w:rsidR="00752554" w:rsidRPr="000E05A8" w:rsidRDefault="00752554" w:rsidP="00914A60">
      <w:pPr>
        <w:jc w:val="center"/>
        <w:outlineLvl w:val="0"/>
        <w:rPr>
          <w:b/>
          <w:sz w:val="22"/>
          <w:szCs w:val="22"/>
          <w:lang w:val="uk-UA"/>
        </w:rPr>
      </w:pPr>
      <w:r w:rsidRPr="000E05A8">
        <w:rPr>
          <w:b/>
          <w:sz w:val="22"/>
          <w:szCs w:val="22"/>
          <w:lang w:val="uk-UA"/>
        </w:rPr>
        <w:t xml:space="preserve">ПРИМІТКИ </w:t>
      </w:r>
    </w:p>
    <w:p w14:paraId="2DBBB8D3" w14:textId="77777777" w:rsidR="00752554" w:rsidRPr="000E05A8" w:rsidRDefault="00752554" w:rsidP="00914A60">
      <w:pPr>
        <w:jc w:val="center"/>
        <w:outlineLvl w:val="0"/>
        <w:rPr>
          <w:b/>
          <w:sz w:val="22"/>
          <w:szCs w:val="22"/>
          <w:lang w:val="uk-UA"/>
        </w:rPr>
      </w:pPr>
      <w:r w:rsidRPr="000E05A8">
        <w:rPr>
          <w:b/>
          <w:sz w:val="22"/>
          <w:szCs w:val="22"/>
          <w:lang w:val="uk-UA"/>
        </w:rPr>
        <w:t>до проміжної фінансової звітності</w:t>
      </w:r>
    </w:p>
    <w:p w14:paraId="5A13A2CA" w14:textId="77777777" w:rsidR="00D8229B" w:rsidRPr="000E05A8" w:rsidRDefault="00752554" w:rsidP="00914A60">
      <w:pPr>
        <w:jc w:val="center"/>
        <w:outlineLvl w:val="0"/>
        <w:rPr>
          <w:b/>
          <w:sz w:val="22"/>
          <w:szCs w:val="22"/>
        </w:rPr>
      </w:pPr>
      <w:r w:rsidRPr="000E05A8">
        <w:rPr>
          <w:b/>
          <w:sz w:val="22"/>
          <w:szCs w:val="22"/>
          <w:lang w:val="uk-UA"/>
        </w:rPr>
        <w:t xml:space="preserve"> </w:t>
      </w:r>
      <w:r w:rsidR="00CF3FA9" w:rsidRPr="000E05A8">
        <w:rPr>
          <w:b/>
          <w:sz w:val="22"/>
          <w:szCs w:val="22"/>
        </w:rPr>
        <w:t>ТОВАРИСТВ</w:t>
      </w:r>
      <w:r w:rsidR="00CF3FA9" w:rsidRPr="000E05A8">
        <w:rPr>
          <w:b/>
          <w:sz w:val="22"/>
          <w:szCs w:val="22"/>
          <w:lang w:val="uk-UA"/>
        </w:rPr>
        <w:t>А</w:t>
      </w:r>
      <w:r w:rsidR="00CF3FA9" w:rsidRPr="000E05A8">
        <w:rPr>
          <w:b/>
          <w:sz w:val="22"/>
          <w:szCs w:val="22"/>
        </w:rPr>
        <w:t xml:space="preserve"> З ОБМЕЖЕНОЮ ВІДПОВІДАЛЬНІСТЮ </w:t>
      </w:r>
    </w:p>
    <w:p w14:paraId="373584BA" w14:textId="15E3AA94" w:rsidR="00752554" w:rsidRPr="000E05A8" w:rsidRDefault="00CF3FA9" w:rsidP="00914A60">
      <w:pPr>
        <w:jc w:val="center"/>
        <w:outlineLvl w:val="0"/>
        <w:rPr>
          <w:b/>
          <w:sz w:val="22"/>
          <w:szCs w:val="22"/>
          <w:lang w:val="uk-UA"/>
        </w:rPr>
      </w:pPr>
      <w:r w:rsidRPr="000E05A8">
        <w:rPr>
          <w:b/>
          <w:sz w:val="22"/>
          <w:szCs w:val="22"/>
        </w:rPr>
        <w:t>"КОМПАНІЯ З УПРАВЛІННЯ АКТИВАМИ "ЕВРІС"</w:t>
      </w:r>
      <w:r w:rsidR="00752554" w:rsidRPr="000E05A8">
        <w:rPr>
          <w:b/>
          <w:sz w:val="22"/>
          <w:szCs w:val="22"/>
          <w:lang w:val="uk-UA"/>
        </w:rPr>
        <w:t xml:space="preserve"> (код ЄДРПОУ </w:t>
      </w:r>
      <w:r w:rsidR="008060D0" w:rsidRPr="000E05A8">
        <w:rPr>
          <w:b/>
          <w:sz w:val="22"/>
          <w:szCs w:val="22"/>
        </w:rPr>
        <w:t>43783292</w:t>
      </w:r>
      <w:r w:rsidR="00752554" w:rsidRPr="000E05A8">
        <w:rPr>
          <w:b/>
          <w:sz w:val="22"/>
          <w:szCs w:val="22"/>
          <w:lang w:val="uk-UA"/>
        </w:rPr>
        <w:t>)</w:t>
      </w:r>
    </w:p>
    <w:p w14:paraId="1B31B5E1" w14:textId="1EFA1DE7" w:rsidR="00752554" w:rsidRPr="000E05A8" w:rsidRDefault="00752554" w:rsidP="00914A60">
      <w:pPr>
        <w:jc w:val="center"/>
        <w:outlineLvl w:val="0"/>
        <w:rPr>
          <w:b/>
          <w:i/>
          <w:sz w:val="22"/>
          <w:szCs w:val="22"/>
          <w:u w:val="single"/>
          <w:lang w:val="uk-UA"/>
        </w:rPr>
      </w:pPr>
      <w:r w:rsidRPr="000E05A8">
        <w:rPr>
          <w:b/>
          <w:sz w:val="22"/>
          <w:szCs w:val="22"/>
          <w:lang w:val="uk-UA"/>
        </w:rPr>
        <w:t xml:space="preserve">за період з </w:t>
      </w:r>
      <w:r w:rsidR="008B164C" w:rsidRPr="000E05A8">
        <w:rPr>
          <w:b/>
          <w:sz w:val="22"/>
          <w:szCs w:val="22"/>
        </w:rPr>
        <w:t>01</w:t>
      </w:r>
      <w:r w:rsidR="00CD1AA3">
        <w:rPr>
          <w:b/>
          <w:sz w:val="22"/>
          <w:szCs w:val="22"/>
        </w:rPr>
        <w:t xml:space="preserve"> </w:t>
      </w:r>
      <w:r w:rsidR="008B164C" w:rsidRPr="000E05A8">
        <w:rPr>
          <w:b/>
          <w:sz w:val="22"/>
          <w:szCs w:val="22"/>
          <w:lang w:val="uk-UA"/>
        </w:rPr>
        <w:t>січня</w:t>
      </w:r>
      <w:r w:rsidRPr="000E05A8">
        <w:rPr>
          <w:b/>
          <w:sz w:val="22"/>
          <w:szCs w:val="22"/>
          <w:lang w:val="uk-UA"/>
        </w:rPr>
        <w:t xml:space="preserve"> 20</w:t>
      </w:r>
      <w:r w:rsidR="00C91D01" w:rsidRPr="000E05A8">
        <w:rPr>
          <w:b/>
          <w:sz w:val="22"/>
          <w:szCs w:val="22"/>
          <w:lang w:val="uk-UA"/>
        </w:rPr>
        <w:t>2</w:t>
      </w:r>
      <w:r w:rsidR="008B164C" w:rsidRPr="000E05A8">
        <w:rPr>
          <w:b/>
          <w:sz w:val="22"/>
          <w:szCs w:val="22"/>
          <w:lang w:val="uk-UA"/>
        </w:rPr>
        <w:t>1</w:t>
      </w:r>
      <w:r w:rsidRPr="000E05A8">
        <w:rPr>
          <w:b/>
          <w:sz w:val="22"/>
          <w:szCs w:val="22"/>
          <w:lang w:val="uk-UA"/>
        </w:rPr>
        <w:t xml:space="preserve"> року по </w:t>
      </w:r>
      <w:r w:rsidR="00980979" w:rsidRPr="000E05A8">
        <w:rPr>
          <w:b/>
          <w:sz w:val="22"/>
          <w:szCs w:val="22"/>
          <w:lang w:val="uk-UA"/>
        </w:rPr>
        <w:t>31 березня 2021</w:t>
      </w:r>
      <w:r w:rsidRPr="000E05A8">
        <w:rPr>
          <w:b/>
          <w:sz w:val="22"/>
          <w:szCs w:val="22"/>
          <w:lang w:val="uk-UA"/>
        </w:rPr>
        <w:t xml:space="preserve"> року</w:t>
      </w:r>
    </w:p>
    <w:p w14:paraId="5D1B3833" w14:textId="77777777" w:rsidR="00752554" w:rsidRPr="000E05A8" w:rsidRDefault="00752554" w:rsidP="00794809">
      <w:pPr>
        <w:ind w:firstLine="709"/>
        <w:jc w:val="both"/>
        <w:rPr>
          <w:b/>
          <w:i/>
          <w:sz w:val="22"/>
          <w:szCs w:val="22"/>
          <w:u w:val="single"/>
          <w:lang w:val="uk-UA"/>
        </w:rPr>
      </w:pPr>
    </w:p>
    <w:p w14:paraId="7847F6F5" w14:textId="77777777" w:rsidR="00752554" w:rsidRPr="000E05A8" w:rsidRDefault="00752554" w:rsidP="00794809">
      <w:pPr>
        <w:numPr>
          <w:ilvl w:val="0"/>
          <w:numId w:val="6"/>
        </w:numPr>
        <w:ind w:left="0" w:firstLine="709"/>
        <w:jc w:val="both"/>
        <w:rPr>
          <w:b/>
          <w:i/>
          <w:sz w:val="22"/>
          <w:szCs w:val="22"/>
          <w:u w:val="single"/>
          <w:lang w:val="uk-UA"/>
        </w:rPr>
      </w:pPr>
      <w:r w:rsidRPr="000E05A8">
        <w:rPr>
          <w:b/>
          <w:bCs/>
          <w:spacing w:val="-2"/>
          <w:sz w:val="22"/>
          <w:szCs w:val="22"/>
          <w:lang w:val="uk-UA"/>
        </w:rPr>
        <w:t>Інформація про компанію з управління активами</w:t>
      </w:r>
    </w:p>
    <w:p w14:paraId="7BDA0D8F" w14:textId="65F35D1F" w:rsidR="00752554" w:rsidRPr="000E05A8" w:rsidRDefault="00F9022B" w:rsidP="00794809">
      <w:pPr>
        <w:shd w:val="clear" w:color="auto" w:fill="FFFFFF"/>
        <w:autoSpaceDE w:val="0"/>
        <w:autoSpaceDN w:val="0"/>
        <w:adjustRightInd w:val="0"/>
        <w:ind w:firstLine="709"/>
        <w:jc w:val="both"/>
        <w:rPr>
          <w:sz w:val="22"/>
          <w:szCs w:val="22"/>
          <w:lang w:val="uk-UA"/>
        </w:rPr>
      </w:pPr>
      <w:r w:rsidRPr="000E05A8">
        <w:rPr>
          <w:sz w:val="22"/>
          <w:szCs w:val="22"/>
        </w:rPr>
        <w:t>ТОВАРИСТВО З ОБМЕЖЕНОЮ ВІДПОВІДАЛЬНІСТЮ "КОМПАНІЯ З УПРАВЛІННЯ АКТИВАМИ "ЕВРІС"</w:t>
      </w:r>
      <w:r w:rsidRPr="000E05A8">
        <w:rPr>
          <w:sz w:val="22"/>
          <w:szCs w:val="22"/>
          <w:lang w:val="uk-UA"/>
        </w:rPr>
        <w:t xml:space="preserve"> </w:t>
      </w:r>
      <w:r w:rsidR="00752554" w:rsidRPr="000E05A8">
        <w:rPr>
          <w:sz w:val="22"/>
          <w:szCs w:val="22"/>
          <w:lang w:val="uk-UA"/>
        </w:rPr>
        <w:t>(«Товариство») створене за рішенням засновника. Товариство має печатку та є юридично незалежною, самостійною юридичною особою.</w:t>
      </w:r>
    </w:p>
    <w:p w14:paraId="77473130" w14:textId="77777777" w:rsidR="00260D2D"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Основним видом діяльності Товариства є надання послуг з управління активами інституційних інвесторів</w:t>
      </w:r>
      <w:r w:rsidR="00260D2D" w:rsidRPr="000E05A8">
        <w:rPr>
          <w:sz w:val="22"/>
          <w:szCs w:val="22"/>
          <w:lang w:val="uk-UA"/>
        </w:rPr>
        <w:t>.</w:t>
      </w:r>
      <w:r w:rsidRPr="000E05A8">
        <w:rPr>
          <w:sz w:val="22"/>
          <w:szCs w:val="22"/>
          <w:lang w:val="uk-UA"/>
        </w:rPr>
        <w:t xml:space="preserve"> </w:t>
      </w:r>
    </w:p>
    <w:p w14:paraId="01370397"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Основні відомості про Товариство:</w:t>
      </w:r>
    </w:p>
    <w:tbl>
      <w:tblPr>
        <w:tblW w:w="10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630"/>
        <w:gridCol w:w="3420"/>
        <w:gridCol w:w="5970"/>
      </w:tblGrid>
      <w:tr w:rsidR="00DC68DD" w:rsidRPr="000E05A8" w14:paraId="366AC9F9" w14:textId="77777777" w:rsidTr="00AF67C9">
        <w:trPr>
          <w:jc w:val="center"/>
        </w:trPr>
        <w:tc>
          <w:tcPr>
            <w:tcW w:w="10020" w:type="dxa"/>
            <w:gridSpan w:val="3"/>
            <w:vAlign w:val="center"/>
          </w:tcPr>
          <w:p w14:paraId="0BBB95B4" w14:textId="41C9AA78" w:rsidR="00DC68DD" w:rsidRPr="00DC68DD" w:rsidRDefault="00DC68DD" w:rsidP="000E05A8">
            <w:pPr>
              <w:ind w:left="57" w:right="57"/>
              <w:rPr>
                <w:b/>
                <w:bCs/>
                <w:sz w:val="22"/>
                <w:szCs w:val="22"/>
                <w:lang w:val="uk-UA"/>
              </w:rPr>
            </w:pPr>
            <w:r w:rsidRPr="00DC68DD">
              <w:rPr>
                <w:b/>
                <w:bCs/>
                <w:sz w:val="22"/>
                <w:szCs w:val="22"/>
              </w:rPr>
              <w:t>ТОВАРИСТВО З ОБМЕЖЕНОЮ ВІДПОВІДАЛЬНІСТЮ "КОМПАНІЯ З УПРАВЛІННЯ АКТИВАМИ "ЕВРІС"</w:t>
            </w:r>
          </w:p>
        </w:tc>
      </w:tr>
      <w:tr w:rsidR="00FE27D0" w:rsidRPr="000E05A8" w14:paraId="286EF3C1" w14:textId="77777777" w:rsidTr="00684D6A">
        <w:trPr>
          <w:trHeight w:val="812"/>
          <w:jc w:val="center"/>
        </w:trPr>
        <w:tc>
          <w:tcPr>
            <w:tcW w:w="630" w:type="dxa"/>
            <w:vAlign w:val="center"/>
          </w:tcPr>
          <w:p w14:paraId="39D3160C" w14:textId="77777777" w:rsidR="00752554" w:rsidRPr="004510D0" w:rsidRDefault="00752554" w:rsidP="004510D0">
            <w:pPr>
              <w:pStyle w:val="a8"/>
              <w:numPr>
                <w:ilvl w:val="0"/>
                <w:numId w:val="32"/>
              </w:numPr>
              <w:ind w:right="57"/>
              <w:jc w:val="center"/>
              <w:rPr>
                <w:sz w:val="20"/>
                <w:szCs w:val="20"/>
                <w:lang w:val="uk-UA"/>
              </w:rPr>
            </w:pPr>
            <w:r w:rsidRPr="004510D0">
              <w:rPr>
                <w:sz w:val="20"/>
                <w:szCs w:val="20"/>
                <w:lang w:val="uk-UA"/>
              </w:rPr>
              <w:t>2</w:t>
            </w:r>
          </w:p>
        </w:tc>
        <w:tc>
          <w:tcPr>
            <w:tcW w:w="3420" w:type="dxa"/>
            <w:vAlign w:val="center"/>
          </w:tcPr>
          <w:p w14:paraId="720193DC" w14:textId="77777777" w:rsidR="00752554" w:rsidRPr="000E05A8" w:rsidRDefault="00752554" w:rsidP="000E05A8">
            <w:pPr>
              <w:ind w:left="57" w:right="57"/>
              <w:rPr>
                <w:sz w:val="20"/>
                <w:szCs w:val="20"/>
                <w:lang w:val="uk-UA"/>
              </w:rPr>
            </w:pPr>
            <w:r w:rsidRPr="000E05A8">
              <w:rPr>
                <w:sz w:val="20"/>
                <w:szCs w:val="20"/>
                <w:lang w:val="uk-UA"/>
              </w:rPr>
              <w:t>Ідентифікаційний код юридичної особи</w:t>
            </w:r>
          </w:p>
        </w:tc>
        <w:tc>
          <w:tcPr>
            <w:tcW w:w="5970" w:type="dxa"/>
            <w:vAlign w:val="center"/>
          </w:tcPr>
          <w:p w14:paraId="41926664" w14:textId="301656DB" w:rsidR="00752554" w:rsidRPr="000E05A8" w:rsidRDefault="000C6350" w:rsidP="000E05A8">
            <w:pPr>
              <w:ind w:left="57" w:right="57"/>
              <w:rPr>
                <w:sz w:val="20"/>
                <w:szCs w:val="20"/>
                <w:lang w:val="uk-UA"/>
              </w:rPr>
            </w:pPr>
            <w:r w:rsidRPr="000E05A8">
              <w:rPr>
                <w:sz w:val="20"/>
                <w:szCs w:val="20"/>
                <w:lang w:val="uk-UA"/>
              </w:rPr>
              <w:t>43783292</w:t>
            </w:r>
          </w:p>
        </w:tc>
      </w:tr>
      <w:tr w:rsidR="00FE27D0" w:rsidRPr="000E05A8" w14:paraId="4638DF8E" w14:textId="77777777" w:rsidTr="00684D6A">
        <w:trPr>
          <w:trHeight w:val="482"/>
          <w:jc w:val="center"/>
        </w:trPr>
        <w:tc>
          <w:tcPr>
            <w:tcW w:w="630" w:type="dxa"/>
            <w:vAlign w:val="center"/>
          </w:tcPr>
          <w:p w14:paraId="4389FC65" w14:textId="77777777" w:rsidR="00752554" w:rsidRPr="004510D0" w:rsidRDefault="00752554" w:rsidP="004510D0">
            <w:pPr>
              <w:pStyle w:val="a8"/>
              <w:numPr>
                <w:ilvl w:val="0"/>
                <w:numId w:val="32"/>
              </w:numPr>
              <w:ind w:right="57"/>
              <w:jc w:val="center"/>
              <w:rPr>
                <w:sz w:val="20"/>
                <w:szCs w:val="20"/>
                <w:lang w:val="uk-UA"/>
              </w:rPr>
            </w:pPr>
            <w:r w:rsidRPr="004510D0">
              <w:rPr>
                <w:sz w:val="20"/>
                <w:szCs w:val="20"/>
                <w:lang w:val="uk-UA"/>
              </w:rPr>
              <w:t>3</w:t>
            </w:r>
          </w:p>
        </w:tc>
        <w:tc>
          <w:tcPr>
            <w:tcW w:w="3420" w:type="dxa"/>
            <w:vAlign w:val="center"/>
          </w:tcPr>
          <w:p w14:paraId="1FA47AE5" w14:textId="77777777" w:rsidR="00752554" w:rsidRPr="000E05A8" w:rsidRDefault="00752554" w:rsidP="000E05A8">
            <w:pPr>
              <w:ind w:left="57" w:right="57"/>
              <w:rPr>
                <w:sz w:val="20"/>
                <w:szCs w:val="20"/>
                <w:lang w:val="uk-UA"/>
              </w:rPr>
            </w:pPr>
            <w:r w:rsidRPr="000E05A8">
              <w:rPr>
                <w:sz w:val="20"/>
                <w:szCs w:val="20"/>
                <w:lang w:val="uk-UA"/>
              </w:rPr>
              <w:t>Місцезнаходження юридичної особи</w:t>
            </w:r>
          </w:p>
        </w:tc>
        <w:tc>
          <w:tcPr>
            <w:tcW w:w="5970" w:type="dxa"/>
            <w:vAlign w:val="center"/>
          </w:tcPr>
          <w:p w14:paraId="040B729F" w14:textId="1661F547" w:rsidR="00752554" w:rsidRPr="000E05A8" w:rsidRDefault="00C9426C" w:rsidP="000E05A8">
            <w:pPr>
              <w:ind w:left="57" w:right="57"/>
              <w:rPr>
                <w:sz w:val="20"/>
                <w:szCs w:val="20"/>
                <w:lang w:val="uk-UA"/>
              </w:rPr>
            </w:pPr>
            <w:r w:rsidRPr="000E05A8">
              <w:rPr>
                <w:sz w:val="20"/>
                <w:szCs w:val="20"/>
              </w:rPr>
              <w:t>Україна, 01601, місто Київ, вул.Мечнікова, будинок 2А</w:t>
            </w:r>
          </w:p>
        </w:tc>
      </w:tr>
      <w:tr w:rsidR="00FE27D0" w:rsidRPr="000E05A8" w14:paraId="3FBA416A" w14:textId="77777777" w:rsidTr="00684D6A">
        <w:trPr>
          <w:trHeight w:val="482"/>
          <w:jc w:val="center"/>
        </w:trPr>
        <w:tc>
          <w:tcPr>
            <w:tcW w:w="630" w:type="dxa"/>
            <w:vAlign w:val="center"/>
          </w:tcPr>
          <w:p w14:paraId="0EE5215B" w14:textId="77777777" w:rsidR="00752554" w:rsidRPr="004510D0" w:rsidRDefault="00752554" w:rsidP="004510D0">
            <w:pPr>
              <w:pStyle w:val="a8"/>
              <w:numPr>
                <w:ilvl w:val="0"/>
                <w:numId w:val="32"/>
              </w:numPr>
              <w:ind w:right="57"/>
              <w:jc w:val="center"/>
              <w:rPr>
                <w:sz w:val="20"/>
                <w:szCs w:val="20"/>
                <w:lang w:val="uk-UA"/>
              </w:rPr>
            </w:pPr>
            <w:r w:rsidRPr="004510D0">
              <w:rPr>
                <w:sz w:val="20"/>
                <w:szCs w:val="20"/>
                <w:lang w:val="uk-UA"/>
              </w:rPr>
              <w:t>4</w:t>
            </w:r>
          </w:p>
        </w:tc>
        <w:tc>
          <w:tcPr>
            <w:tcW w:w="3420" w:type="dxa"/>
            <w:vAlign w:val="center"/>
          </w:tcPr>
          <w:p w14:paraId="073D6093" w14:textId="365F5989" w:rsidR="00752554" w:rsidRPr="000E05A8" w:rsidRDefault="00DC68DD" w:rsidP="000E05A8">
            <w:pPr>
              <w:ind w:left="57" w:right="57"/>
              <w:rPr>
                <w:sz w:val="20"/>
                <w:szCs w:val="20"/>
                <w:lang w:val="uk-UA"/>
              </w:rPr>
            </w:pPr>
            <w:r>
              <w:rPr>
                <w:sz w:val="20"/>
                <w:szCs w:val="20"/>
                <w:lang w:val="uk-UA"/>
              </w:rPr>
              <w:t>Д</w:t>
            </w:r>
            <w:r w:rsidR="00752554" w:rsidRPr="000E05A8">
              <w:rPr>
                <w:sz w:val="20"/>
                <w:szCs w:val="20"/>
                <w:lang w:val="uk-UA"/>
              </w:rPr>
              <w:t>ата державної реєстрації</w:t>
            </w:r>
            <w:r>
              <w:rPr>
                <w:sz w:val="20"/>
                <w:szCs w:val="20"/>
                <w:lang w:val="uk-UA"/>
              </w:rPr>
              <w:t xml:space="preserve"> </w:t>
            </w:r>
          </w:p>
        </w:tc>
        <w:tc>
          <w:tcPr>
            <w:tcW w:w="5970" w:type="dxa"/>
            <w:vAlign w:val="center"/>
          </w:tcPr>
          <w:p w14:paraId="58AEA9F0" w14:textId="1D5E5FE5" w:rsidR="00752554" w:rsidRPr="000E05A8" w:rsidRDefault="0073415A" w:rsidP="000E05A8">
            <w:pPr>
              <w:ind w:left="57" w:right="57"/>
              <w:rPr>
                <w:sz w:val="20"/>
                <w:szCs w:val="20"/>
                <w:lang w:val="uk-UA"/>
              </w:rPr>
            </w:pPr>
            <w:r w:rsidRPr="000E05A8">
              <w:rPr>
                <w:sz w:val="20"/>
                <w:szCs w:val="20"/>
                <w:lang w:val="uk-UA"/>
              </w:rPr>
              <w:t>31.08.2020</w:t>
            </w:r>
          </w:p>
        </w:tc>
      </w:tr>
      <w:tr w:rsidR="00FE27D0" w:rsidRPr="000E05A8" w14:paraId="6ADD168E" w14:textId="77777777" w:rsidTr="00684D6A">
        <w:trPr>
          <w:trHeight w:val="482"/>
          <w:jc w:val="center"/>
        </w:trPr>
        <w:tc>
          <w:tcPr>
            <w:tcW w:w="630" w:type="dxa"/>
            <w:vAlign w:val="center"/>
          </w:tcPr>
          <w:p w14:paraId="676C688E" w14:textId="77777777" w:rsidR="00752554" w:rsidRPr="004510D0" w:rsidRDefault="00752554" w:rsidP="004510D0">
            <w:pPr>
              <w:pStyle w:val="a8"/>
              <w:numPr>
                <w:ilvl w:val="0"/>
                <w:numId w:val="32"/>
              </w:numPr>
              <w:ind w:right="57"/>
              <w:jc w:val="center"/>
              <w:rPr>
                <w:sz w:val="20"/>
                <w:szCs w:val="20"/>
                <w:lang w:val="uk-UA"/>
              </w:rPr>
            </w:pPr>
            <w:r w:rsidRPr="004510D0">
              <w:rPr>
                <w:sz w:val="20"/>
                <w:szCs w:val="20"/>
                <w:lang w:val="uk-UA"/>
              </w:rPr>
              <w:t>5</w:t>
            </w:r>
          </w:p>
        </w:tc>
        <w:tc>
          <w:tcPr>
            <w:tcW w:w="3420" w:type="dxa"/>
            <w:vAlign w:val="center"/>
          </w:tcPr>
          <w:p w14:paraId="44F402C0" w14:textId="77777777" w:rsidR="00752554" w:rsidRPr="000E05A8" w:rsidRDefault="00752554" w:rsidP="000E05A8">
            <w:pPr>
              <w:ind w:left="57" w:right="57"/>
              <w:rPr>
                <w:sz w:val="20"/>
                <w:szCs w:val="20"/>
                <w:lang w:val="uk-UA"/>
              </w:rPr>
            </w:pPr>
            <w:r w:rsidRPr="000E05A8">
              <w:rPr>
                <w:sz w:val="20"/>
                <w:szCs w:val="20"/>
                <w:lang w:val="uk-UA"/>
              </w:rPr>
              <w:t>КВЕД-2010</w:t>
            </w:r>
          </w:p>
        </w:tc>
        <w:tc>
          <w:tcPr>
            <w:tcW w:w="5970" w:type="dxa"/>
            <w:vAlign w:val="center"/>
          </w:tcPr>
          <w:p w14:paraId="18E6D744" w14:textId="77777777" w:rsidR="00752554" w:rsidRPr="000E05A8" w:rsidRDefault="00752554" w:rsidP="000E05A8">
            <w:pPr>
              <w:ind w:right="57"/>
              <w:rPr>
                <w:sz w:val="20"/>
                <w:szCs w:val="20"/>
                <w:lang w:val="uk-UA"/>
              </w:rPr>
            </w:pPr>
            <w:r w:rsidRPr="000E05A8">
              <w:rPr>
                <w:sz w:val="20"/>
                <w:szCs w:val="20"/>
                <w:lang w:val="uk-UA"/>
              </w:rPr>
              <w:t>66.30 Управління фондами (ОСНОВНИЙ)</w:t>
            </w:r>
          </w:p>
        </w:tc>
      </w:tr>
      <w:tr w:rsidR="00FE27D0" w:rsidRPr="000E05A8" w14:paraId="634E1612" w14:textId="77777777" w:rsidTr="00684D6A">
        <w:trPr>
          <w:trHeight w:val="335"/>
          <w:jc w:val="center"/>
        </w:trPr>
        <w:tc>
          <w:tcPr>
            <w:tcW w:w="630" w:type="dxa"/>
            <w:vAlign w:val="center"/>
          </w:tcPr>
          <w:p w14:paraId="742F32AA" w14:textId="16915DED" w:rsidR="00752554" w:rsidRPr="004510D0" w:rsidRDefault="001F0FCE" w:rsidP="004510D0">
            <w:pPr>
              <w:pStyle w:val="a8"/>
              <w:numPr>
                <w:ilvl w:val="0"/>
                <w:numId w:val="32"/>
              </w:numPr>
              <w:ind w:right="57"/>
              <w:jc w:val="center"/>
              <w:rPr>
                <w:sz w:val="20"/>
                <w:szCs w:val="20"/>
                <w:lang w:val="en-US"/>
              </w:rPr>
            </w:pPr>
            <w:r w:rsidRPr="004510D0">
              <w:rPr>
                <w:sz w:val="20"/>
                <w:szCs w:val="20"/>
                <w:lang w:val="en-US"/>
              </w:rPr>
              <w:t>6</w:t>
            </w:r>
          </w:p>
        </w:tc>
        <w:tc>
          <w:tcPr>
            <w:tcW w:w="3420" w:type="dxa"/>
            <w:vAlign w:val="center"/>
          </w:tcPr>
          <w:p w14:paraId="48E4B0FB" w14:textId="77777777" w:rsidR="008C5EA5" w:rsidRPr="000E05A8" w:rsidRDefault="00752554" w:rsidP="000E05A8">
            <w:pPr>
              <w:ind w:left="57" w:right="57"/>
              <w:rPr>
                <w:sz w:val="20"/>
                <w:szCs w:val="20"/>
                <w:lang w:val="uk-UA"/>
              </w:rPr>
            </w:pPr>
            <w:r w:rsidRPr="000E05A8">
              <w:rPr>
                <w:sz w:val="20"/>
                <w:szCs w:val="20"/>
                <w:lang w:val="uk-UA"/>
              </w:rPr>
              <w:t>Перелік учасників (засновників)</w:t>
            </w:r>
          </w:p>
          <w:p w14:paraId="51B79413" w14:textId="45E1772C" w:rsidR="00752554" w:rsidRPr="000E05A8" w:rsidRDefault="00752554" w:rsidP="000E05A8">
            <w:pPr>
              <w:ind w:left="57" w:right="57"/>
              <w:rPr>
                <w:sz w:val="20"/>
                <w:szCs w:val="20"/>
                <w:lang w:val="uk-UA"/>
              </w:rPr>
            </w:pPr>
          </w:p>
        </w:tc>
        <w:tc>
          <w:tcPr>
            <w:tcW w:w="5970" w:type="dxa"/>
            <w:vAlign w:val="center"/>
          </w:tcPr>
          <w:p w14:paraId="16052F25" w14:textId="77777777" w:rsidR="0073415A" w:rsidRPr="000E05A8" w:rsidRDefault="00661A77" w:rsidP="000E05A8">
            <w:pPr>
              <w:ind w:left="57" w:right="57"/>
              <w:jc w:val="both"/>
              <w:rPr>
                <w:sz w:val="20"/>
                <w:szCs w:val="20"/>
                <w:lang w:val="uk-UA"/>
              </w:rPr>
            </w:pPr>
            <w:r w:rsidRPr="000E05A8">
              <w:rPr>
                <w:sz w:val="20"/>
                <w:szCs w:val="20"/>
                <w:lang w:val="uk-UA"/>
              </w:rPr>
              <w:t xml:space="preserve">Станом на </w:t>
            </w:r>
            <w:r w:rsidR="00980979" w:rsidRPr="000E05A8">
              <w:rPr>
                <w:sz w:val="20"/>
                <w:szCs w:val="20"/>
                <w:lang w:val="uk-UA"/>
              </w:rPr>
              <w:t>31.03.2021</w:t>
            </w:r>
            <w:r w:rsidRPr="000E05A8">
              <w:rPr>
                <w:sz w:val="20"/>
                <w:szCs w:val="20"/>
                <w:lang w:val="uk-UA"/>
              </w:rPr>
              <w:t xml:space="preserve"> року </w:t>
            </w:r>
            <w:r w:rsidR="0050799F" w:rsidRPr="000E05A8">
              <w:rPr>
                <w:sz w:val="20"/>
                <w:szCs w:val="20"/>
                <w:lang w:val="uk-UA"/>
              </w:rPr>
              <w:t xml:space="preserve">єдиним Учасником Товариства є </w:t>
            </w:r>
            <w:r w:rsidRPr="000E05A8">
              <w:rPr>
                <w:sz w:val="20"/>
                <w:szCs w:val="20"/>
                <w:lang w:val="uk-UA"/>
              </w:rPr>
              <w:t xml:space="preserve">- </w:t>
            </w:r>
            <w:r w:rsidR="003E16B7" w:rsidRPr="000E05A8">
              <w:rPr>
                <w:sz w:val="20"/>
                <w:szCs w:val="20"/>
                <w:lang w:val="uk-UA"/>
              </w:rPr>
              <w:t xml:space="preserve">ТОВАРИСТВО З ОБМЕЖЕНОЮ ВІДПОВІДАЛЬНІСТЮ "ЮРИДИЧНА ФІРМА "ЕВРІС", </w:t>
            </w:r>
          </w:p>
          <w:p w14:paraId="7826A76E" w14:textId="77777777" w:rsidR="005170B2" w:rsidRPr="000E05A8" w:rsidRDefault="003E16B7" w:rsidP="000E05A8">
            <w:pPr>
              <w:ind w:left="57" w:right="57"/>
              <w:jc w:val="both"/>
              <w:rPr>
                <w:sz w:val="20"/>
                <w:szCs w:val="20"/>
                <w:lang w:val="uk-UA"/>
              </w:rPr>
            </w:pPr>
            <w:r w:rsidRPr="000E05A8">
              <w:rPr>
                <w:sz w:val="20"/>
                <w:szCs w:val="20"/>
                <w:lang w:val="uk-UA"/>
              </w:rPr>
              <w:t xml:space="preserve">Код ЄДРПОУ:41521136, </w:t>
            </w:r>
          </w:p>
          <w:p w14:paraId="4DD26835" w14:textId="77777777" w:rsidR="005170B2" w:rsidRPr="000E05A8" w:rsidRDefault="003E16B7" w:rsidP="000E05A8">
            <w:pPr>
              <w:ind w:left="57" w:right="57"/>
              <w:jc w:val="both"/>
              <w:rPr>
                <w:sz w:val="20"/>
                <w:szCs w:val="20"/>
                <w:lang w:val="uk-UA"/>
              </w:rPr>
            </w:pPr>
            <w:r w:rsidRPr="000E05A8">
              <w:rPr>
                <w:sz w:val="20"/>
                <w:szCs w:val="20"/>
                <w:lang w:val="uk-UA"/>
              </w:rPr>
              <w:t xml:space="preserve">Країна резиденства: Україна, </w:t>
            </w:r>
          </w:p>
          <w:p w14:paraId="136232DF" w14:textId="77777777" w:rsidR="005170B2" w:rsidRPr="000E05A8" w:rsidRDefault="003E16B7" w:rsidP="000E05A8">
            <w:pPr>
              <w:ind w:left="57" w:right="57"/>
              <w:jc w:val="both"/>
              <w:rPr>
                <w:sz w:val="20"/>
                <w:szCs w:val="20"/>
                <w:lang w:val="uk-UA"/>
              </w:rPr>
            </w:pPr>
            <w:r w:rsidRPr="000E05A8">
              <w:rPr>
                <w:sz w:val="20"/>
                <w:szCs w:val="20"/>
                <w:lang w:val="uk-UA"/>
              </w:rPr>
              <w:t xml:space="preserve">Місцезнаходження: Україна, 01030, місто Київ, </w:t>
            </w:r>
            <w:r w:rsidR="00BB552D" w:rsidRPr="000E05A8">
              <w:rPr>
                <w:sz w:val="20"/>
                <w:szCs w:val="20"/>
                <w:lang w:val="uk-UA"/>
              </w:rPr>
              <w:t>вулиця</w:t>
            </w:r>
            <w:r w:rsidRPr="000E05A8">
              <w:rPr>
                <w:sz w:val="20"/>
                <w:szCs w:val="20"/>
                <w:lang w:val="uk-UA"/>
              </w:rPr>
              <w:t xml:space="preserve"> Б</w:t>
            </w:r>
            <w:r w:rsidR="00BB552D" w:rsidRPr="000E05A8">
              <w:rPr>
                <w:sz w:val="20"/>
                <w:szCs w:val="20"/>
                <w:lang w:val="uk-UA"/>
              </w:rPr>
              <w:t>огдана</w:t>
            </w:r>
            <w:r w:rsidRPr="000E05A8">
              <w:rPr>
                <w:sz w:val="20"/>
                <w:szCs w:val="20"/>
                <w:lang w:val="uk-UA"/>
              </w:rPr>
              <w:t xml:space="preserve"> Х</w:t>
            </w:r>
            <w:r w:rsidR="00BB552D" w:rsidRPr="000E05A8">
              <w:rPr>
                <w:sz w:val="20"/>
                <w:szCs w:val="20"/>
                <w:lang w:val="uk-UA"/>
              </w:rPr>
              <w:t>мельницького</w:t>
            </w:r>
            <w:r w:rsidRPr="000E05A8">
              <w:rPr>
                <w:sz w:val="20"/>
                <w:szCs w:val="20"/>
                <w:lang w:val="uk-UA"/>
              </w:rPr>
              <w:t>, будинок 52</w:t>
            </w:r>
            <w:r w:rsidR="009D145F" w:rsidRPr="000E05A8">
              <w:rPr>
                <w:sz w:val="20"/>
                <w:szCs w:val="20"/>
                <w:lang w:val="uk-UA"/>
              </w:rPr>
              <w:t>.</w:t>
            </w:r>
            <w:r w:rsidRPr="000E05A8">
              <w:rPr>
                <w:sz w:val="20"/>
                <w:szCs w:val="20"/>
                <w:lang w:val="uk-UA"/>
              </w:rPr>
              <w:t xml:space="preserve"> </w:t>
            </w:r>
          </w:p>
          <w:p w14:paraId="0AB88189" w14:textId="1BF4A4C7" w:rsidR="00661A77" w:rsidRPr="000E05A8" w:rsidRDefault="003E16B7" w:rsidP="000E05A8">
            <w:pPr>
              <w:ind w:left="57" w:right="57"/>
              <w:jc w:val="both"/>
              <w:rPr>
                <w:sz w:val="20"/>
                <w:szCs w:val="20"/>
                <w:lang w:val="uk-UA"/>
              </w:rPr>
            </w:pPr>
            <w:r w:rsidRPr="000E05A8">
              <w:rPr>
                <w:sz w:val="20"/>
                <w:szCs w:val="20"/>
                <w:lang w:val="uk-UA"/>
              </w:rPr>
              <w:t>Розмір внеску до статутного фонду (грн.): 7</w:t>
            </w:r>
            <w:r w:rsidR="00BB552D" w:rsidRPr="000E05A8">
              <w:rPr>
                <w:sz w:val="20"/>
                <w:szCs w:val="20"/>
                <w:lang w:val="uk-UA"/>
              </w:rPr>
              <w:t xml:space="preserve"> </w:t>
            </w:r>
            <w:r w:rsidRPr="000E05A8">
              <w:rPr>
                <w:sz w:val="20"/>
                <w:szCs w:val="20"/>
                <w:lang w:val="uk-UA"/>
              </w:rPr>
              <w:t>500</w:t>
            </w:r>
            <w:r w:rsidR="00BB552D" w:rsidRPr="000E05A8">
              <w:rPr>
                <w:sz w:val="20"/>
                <w:szCs w:val="20"/>
                <w:lang w:val="uk-UA"/>
              </w:rPr>
              <w:t xml:space="preserve"> </w:t>
            </w:r>
            <w:r w:rsidRPr="000E05A8">
              <w:rPr>
                <w:sz w:val="20"/>
                <w:szCs w:val="20"/>
                <w:lang w:val="uk-UA"/>
              </w:rPr>
              <w:t xml:space="preserve">000,00 </w:t>
            </w:r>
          </w:p>
        </w:tc>
      </w:tr>
      <w:tr w:rsidR="00FE27D0" w:rsidRPr="000E05A8" w14:paraId="6DFF0D6E" w14:textId="77777777" w:rsidTr="00684D6A">
        <w:trPr>
          <w:trHeight w:val="335"/>
          <w:jc w:val="center"/>
        </w:trPr>
        <w:tc>
          <w:tcPr>
            <w:tcW w:w="630" w:type="dxa"/>
            <w:vAlign w:val="center"/>
          </w:tcPr>
          <w:p w14:paraId="45B19E4F" w14:textId="13CF1438" w:rsidR="00752554" w:rsidRPr="004510D0" w:rsidRDefault="001F0FCE" w:rsidP="004510D0">
            <w:pPr>
              <w:pStyle w:val="a8"/>
              <w:numPr>
                <w:ilvl w:val="0"/>
                <w:numId w:val="32"/>
              </w:numPr>
              <w:ind w:right="57"/>
              <w:jc w:val="center"/>
              <w:rPr>
                <w:sz w:val="20"/>
                <w:szCs w:val="20"/>
                <w:lang w:val="en-US"/>
              </w:rPr>
            </w:pPr>
            <w:r w:rsidRPr="004510D0">
              <w:rPr>
                <w:sz w:val="20"/>
                <w:szCs w:val="20"/>
                <w:lang w:val="en-US"/>
              </w:rPr>
              <w:t>7</w:t>
            </w:r>
          </w:p>
        </w:tc>
        <w:tc>
          <w:tcPr>
            <w:tcW w:w="3420" w:type="dxa"/>
            <w:vAlign w:val="center"/>
          </w:tcPr>
          <w:p w14:paraId="4A131A82" w14:textId="5E212DBC" w:rsidR="00752554" w:rsidRPr="000E05A8" w:rsidRDefault="00752554" w:rsidP="000E05A8">
            <w:pPr>
              <w:ind w:left="57" w:right="57"/>
              <w:rPr>
                <w:sz w:val="20"/>
                <w:szCs w:val="20"/>
                <w:lang w:val="uk-UA"/>
              </w:rPr>
            </w:pPr>
            <w:r w:rsidRPr="000E05A8">
              <w:rPr>
                <w:sz w:val="20"/>
                <w:szCs w:val="20"/>
                <w:lang w:val="uk-UA"/>
              </w:rPr>
              <w:t xml:space="preserve">Кількість працівників на </w:t>
            </w:r>
            <w:r w:rsidR="00980979" w:rsidRPr="000E05A8">
              <w:rPr>
                <w:sz w:val="20"/>
                <w:szCs w:val="20"/>
                <w:lang w:val="uk-UA"/>
              </w:rPr>
              <w:t>31.03.2021</w:t>
            </w:r>
            <w:r w:rsidRPr="000E05A8">
              <w:rPr>
                <w:sz w:val="20"/>
                <w:szCs w:val="20"/>
                <w:lang w:val="uk-UA"/>
              </w:rPr>
              <w:t xml:space="preserve"> р.</w:t>
            </w:r>
          </w:p>
        </w:tc>
        <w:tc>
          <w:tcPr>
            <w:tcW w:w="5970" w:type="dxa"/>
            <w:vAlign w:val="center"/>
          </w:tcPr>
          <w:p w14:paraId="59ECD6F3" w14:textId="77777777" w:rsidR="00752554" w:rsidRPr="000E05A8" w:rsidRDefault="00661A77" w:rsidP="000E05A8">
            <w:pPr>
              <w:ind w:left="57" w:right="57"/>
              <w:jc w:val="both"/>
              <w:rPr>
                <w:sz w:val="20"/>
                <w:szCs w:val="20"/>
                <w:lang w:val="uk-UA"/>
              </w:rPr>
            </w:pPr>
            <w:r w:rsidRPr="000E05A8">
              <w:rPr>
                <w:sz w:val="20"/>
                <w:szCs w:val="20"/>
                <w:lang w:val="uk-UA"/>
              </w:rPr>
              <w:t>3</w:t>
            </w:r>
            <w:r w:rsidR="00752554" w:rsidRPr="000E05A8">
              <w:rPr>
                <w:sz w:val="20"/>
                <w:szCs w:val="20"/>
                <w:lang w:val="uk-UA"/>
              </w:rPr>
              <w:t xml:space="preserve"> (</w:t>
            </w:r>
            <w:r w:rsidRPr="000E05A8">
              <w:rPr>
                <w:sz w:val="20"/>
                <w:szCs w:val="20"/>
                <w:lang w:val="uk-UA"/>
              </w:rPr>
              <w:t>три</w:t>
            </w:r>
            <w:r w:rsidR="00AB6145" w:rsidRPr="000E05A8">
              <w:rPr>
                <w:sz w:val="20"/>
                <w:szCs w:val="20"/>
                <w:lang w:val="uk-UA"/>
              </w:rPr>
              <w:t>) особи</w:t>
            </w:r>
          </w:p>
        </w:tc>
      </w:tr>
      <w:tr w:rsidR="00FE27D0" w:rsidRPr="000E05A8" w14:paraId="01476DAD" w14:textId="77777777" w:rsidTr="00684D6A">
        <w:trPr>
          <w:trHeight w:val="335"/>
          <w:jc w:val="center"/>
        </w:trPr>
        <w:tc>
          <w:tcPr>
            <w:tcW w:w="630" w:type="dxa"/>
            <w:vAlign w:val="center"/>
          </w:tcPr>
          <w:p w14:paraId="6CB3170A" w14:textId="70BF6042" w:rsidR="00752554" w:rsidRPr="004510D0" w:rsidRDefault="001F0FCE" w:rsidP="004510D0">
            <w:pPr>
              <w:pStyle w:val="a8"/>
              <w:numPr>
                <w:ilvl w:val="0"/>
                <w:numId w:val="32"/>
              </w:numPr>
              <w:ind w:right="57"/>
              <w:jc w:val="center"/>
              <w:rPr>
                <w:sz w:val="20"/>
                <w:szCs w:val="20"/>
                <w:lang w:val="en-US"/>
              </w:rPr>
            </w:pPr>
            <w:r w:rsidRPr="004510D0">
              <w:rPr>
                <w:sz w:val="20"/>
                <w:szCs w:val="20"/>
                <w:lang w:val="en-US"/>
              </w:rPr>
              <w:t>8</w:t>
            </w:r>
          </w:p>
        </w:tc>
        <w:tc>
          <w:tcPr>
            <w:tcW w:w="3420" w:type="dxa"/>
            <w:vAlign w:val="center"/>
          </w:tcPr>
          <w:p w14:paraId="2D87D1FF" w14:textId="77777777" w:rsidR="00752554" w:rsidRPr="000E05A8" w:rsidRDefault="00752554" w:rsidP="000E05A8">
            <w:pPr>
              <w:ind w:left="57" w:right="57"/>
              <w:jc w:val="both"/>
              <w:rPr>
                <w:sz w:val="20"/>
                <w:szCs w:val="20"/>
                <w:lang w:val="uk-UA"/>
              </w:rPr>
            </w:pPr>
            <w:r w:rsidRPr="000E05A8">
              <w:rPr>
                <w:sz w:val="20"/>
                <w:szCs w:val="20"/>
                <w:lang w:val="uk-UA"/>
              </w:rPr>
              <w:t>Інформація про здійснення зв'язку з юридичною особою:</w:t>
            </w:r>
          </w:p>
        </w:tc>
        <w:tc>
          <w:tcPr>
            <w:tcW w:w="5970" w:type="dxa"/>
            <w:vAlign w:val="center"/>
          </w:tcPr>
          <w:p w14:paraId="4A55353D" w14:textId="77777777" w:rsidR="00E966BD" w:rsidRPr="000E05A8" w:rsidRDefault="00752554" w:rsidP="000E05A8">
            <w:pPr>
              <w:ind w:left="57" w:right="57"/>
              <w:jc w:val="both"/>
              <w:rPr>
                <w:sz w:val="20"/>
                <w:szCs w:val="20"/>
                <w:lang w:val="uk-UA"/>
              </w:rPr>
            </w:pPr>
            <w:r w:rsidRPr="000E05A8">
              <w:rPr>
                <w:sz w:val="20"/>
                <w:szCs w:val="20"/>
                <w:lang w:val="uk-UA"/>
              </w:rPr>
              <w:t>телефон: +</w:t>
            </w:r>
            <w:r w:rsidR="00134888" w:rsidRPr="000E05A8">
              <w:rPr>
                <w:sz w:val="20"/>
                <w:szCs w:val="20"/>
              </w:rPr>
              <w:t>38(044)</w:t>
            </w:r>
            <w:r w:rsidR="00134888" w:rsidRPr="000E05A8">
              <w:rPr>
                <w:sz w:val="20"/>
                <w:szCs w:val="20"/>
                <w:lang w:val="uk-UA"/>
              </w:rPr>
              <w:t xml:space="preserve"> </w:t>
            </w:r>
            <w:r w:rsidR="00134888" w:rsidRPr="000E05A8">
              <w:rPr>
                <w:sz w:val="20"/>
                <w:szCs w:val="20"/>
              </w:rPr>
              <w:t>364-91-91</w:t>
            </w:r>
            <w:r w:rsidRPr="000E05A8">
              <w:rPr>
                <w:sz w:val="20"/>
                <w:szCs w:val="20"/>
                <w:lang w:val="uk-UA"/>
              </w:rPr>
              <w:t xml:space="preserve">, </w:t>
            </w:r>
          </w:p>
          <w:p w14:paraId="055E3955" w14:textId="4A6A3A5E" w:rsidR="00752554" w:rsidRPr="000E05A8" w:rsidRDefault="00752554" w:rsidP="000E05A8">
            <w:pPr>
              <w:ind w:left="57" w:right="57"/>
              <w:jc w:val="both"/>
              <w:rPr>
                <w:sz w:val="20"/>
                <w:szCs w:val="20"/>
              </w:rPr>
            </w:pPr>
            <w:r w:rsidRPr="000E05A8">
              <w:rPr>
                <w:sz w:val="20"/>
                <w:szCs w:val="20"/>
                <w:lang w:val="uk-UA"/>
              </w:rPr>
              <w:t xml:space="preserve">адреса електронної пошти: </w:t>
            </w:r>
            <w:hyperlink r:id="rId11" w:history="1">
              <w:r w:rsidR="00E966BD" w:rsidRPr="000E05A8">
                <w:rPr>
                  <w:rStyle w:val="ae"/>
                  <w:sz w:val="20"/>
                  <w:szCs w:val="20"/>
                  <w:lang w:val="en-US"/>
                </w:rPr>
                <w:t>kua</w:t>
              </w:r>
              <w:r w:rsidR="00E966BD" w:rsidRPr="000E05A8">
                <w:rPr>
                  <w:rStyle w:val="ae"/>
                  <w:sz w:val="20"/>
                  <w:szCs w:val="20"/>
                  <w:lang w:val="uk-UA"/>
                </w:rPr>
                <w:t>@</w:t>
              </w:r>
              <w:r w:rsidR="00E966BD" w:rsidRPr="000E05A8">
                <w:rPr>
                  <w:rStyle w:val="ae"/>
                  <w:sz w:val="20"/>
                  <w:szCs w:val="20"/>
                  <w:lang w:val="en-US"/>
                </w:rPr>
                <w:t>evris</w:t>
              </w:r>
              <w:r w:rsidR="00E966BD" w:rsidRPr="000E05A8">
                <w:rPr>
                  <w:rStyle w:val="ae"/>
                  <w:sz w:val="20"/>
                  <w:szCs w:val="20"/>
                </w:rPr>
                <w:t>.</w:t>
              </w:r>
              <w:r w:rsidR="00E966BD" w:rsidRPr="000E05A8">
                <w:rPr>
                  <w:rStyle w:val="ae"/>
                  <w:sz w:val="20"/>
                  <w:szCs w:val="20"/>
                  <w:lang w:val="en-US"/>
                </w:rPr>
                <w:t>ua</w:t>
              </w:r>
            </w:hyperlink>
          </w:p>
          <w:p w14:paraId="518D3BCA" w14:textId="7CFFA63F" w:rsidR="00E966BD" w:rsidRPr="000E05A8" w:rsidRDefault="00574F66" w:rsidP="000E05A8">
            <w:pPr>
              <w:ind w:left="57" w:right="57"/>
              <w:jc w:val="both"/>
              <w:rPr>
                <w:sz w:val="20"/>
                <w:szCs w:val="20"/>
                <w:lang w:val="uk-UA"/>
              </w:rPr>
            </w:pPr>
            <w:r w:rsidRPr="000E05A8">
              <w:rPr>
                <w:sz w:val="20"/>
                <w:szCs w:val="20"/>
                <w:lang w:val="uk-UA"/>
              </w:rPr>
              <w:t>Сторінка в Інтернеті</w:t>
            </w:r>
            <w:r w:rsidR="0094751D" w:rsidRPr="000E05A8">
              <w:rPr>
                <w:sz w:val="20"/>
                <w:szCs w:val="20"/>
                <w:lang w:val="uk-UA"/>
              </w:rPr>
              <w:t>:</w:t>
            </w:r>
            <w:r w:rsidRPr="000E05A8">
              <w:rPr>
                <w:sz w:val="20"/>
                <w:szCs w:val="20"/>
                <w:lang w:val="uk-UA"/>
              </w:rPr>
              <w:t xml:space="preserve"> </w:t>
            </w:r>
            <w:hyperlink r:id="rId12" w:history="1">
              <w:r w:rsidR="00486AEF" w:rsidRPr="000E05A8">
                <w:rPr>
                  <w:rStyle w:val="ae"/>
                  <w:sz w:val="20"/>
                  <w:szCs w:val="20"/>
                  <w:lang w:val="uk-UA"/>
                </w:rPr>
                <w:t>http://evris-am.com</w:t>
              </w:r>
            </w:hyperlink>
          </w:p>
          <w:p w14:paraId="4E8FE4C0" w14:textId="4E87F9F6" w:rsidR="00486AEF" w:rsidRPr="000E05A8" w:rsidRDefault="00486AEF" w:rsidP="000E05A8">
            <w:pPr>
              <w:ind w:left="57" w:right="57"/>
              <w:jc w:val="both"/>
              <w:rPr>
                <w:sz w:val="20"/>
                <w:szCs w:val="20"/>
              </w:rPr>
            </w:pPr>
          </w:p>
        </w:tc>
      </w:tr>
    </w:tbl>
    <w:p w14:paraId="15825F19" w14:textId="28CA0CCE" w:rsidR="00972A2C" w:rsidRPr="000E05A8" w:rsidRDefault="00187A00" w:rsidP="00972A2C">
      <w:pPr>
        <w:shd w:val="clear" w:color="auto" w:fill="FFFFFF"/>
        <w:tabs>
          <w:tab w:val="left" w:pos="485"/>
        </w:tabs>
        <w:spacing w:line="276" w:lineRule="auto"/>
        <w:ind w:right="71"/>
        <w:jc w:val="both"/>
        <w:rPr>
          <w:spacing w:val="-2"/>
          <w:sz w:val="22"/>
          <w:szCs w:val="22"/>
          <w:lang w:val="uk-UA"/>
        </w:rPr>
      </w:pPr>
      <w:bookmarkStart w:id="0" w:name="n33"/>
      <w:bookmarkStart w:id="1" w:name="n35"/>
      <w:bookmarkStart w:id="2" w:name="n36"/>
      <w:bookmarkEnd w:id="0"/>
      <w:bookmarkEnd w:id="1"/>
      <w:bookmarkEnd w:id="2"/>
      <w:r w:rsidRPr="000E05A8">
        <w:rPr>
          <w:bCs/>
          <w:spacing w:val="-2"/>
          <w:sz w:val="22"/>
          <w:szCs w:val="22"/>
          <w:lang w:val="uk-UA"/>
        </w:rPr>
        <w:t xml:space="preserve">     </w:t>
      </w:r>
      <w:r w:rsidR="00972A2C" w:rsidRPr="000E05A8">
        <w:rPr>
          <w:bCs/>
          <w:spacing w:val="-2"/>
          <w:sz w:val="22"/>
          <w:szCs w:val="22"/>
          <w:lang w:val="uk-UA"/>
        </w:rPr>
        <w:t>Номер і дата прийняття рішення про видачу ліцензії на провадження професійної діяльності на фондовому ринку – діяльності з управління активами інституційних інвесторів (діяльність з управління активами)</w:t>
      </w:r>
      <w:r w:rsidR="00972A2C" w:rsidRPr="000E05A8">
        <w:rPr>
          <w:b/>
          <w:spacing w:val="-2"/>
          <w:sz w:val="22"/>
          <w:szCs w:val="22"/>
          <w:lang w:val="uk-UA"/>
        </w:rPr>
        <w:t>:</w:t>
      </w:r>
      <w:r w:rsidR="00972A2C" w:rsidRPr="000E05A8">
        <w:rPr>
          <w:spacing w:val="-2"/>
          <w:sz w:val="22"/>
          <w:szCs w:val="22"/>
          <w:lang w:val="uk-UA"/>
        </w:rPr>
        <w:t xml:space="preserve"> </w:t>
      </w:r>
      <w:r w:rsidR="00972A2C" w:rsidRPr="000E05A8">
        <w:rPr>
          <w:color w:val="000000"/>
          <w:spacing w:val="-2"/>
          <w:sz w:val="22"/>
          <w:szCs w:val="22"/>
          <w:lang w:val="uk-UA"/>
        </w:rPr>
        <w:t xml:space="preserve">Рішення № </w:t>
      </w:r>
      <w:r w:rsidR="00972A2C" w:rsidRPr="000E05A8">
        <w:rPr>
          <w:sz w:val="22"/>
          <w:szCs w:val="22"/>
          <w:lang w:val="uk-UA"/>
        </w:rPr>
        <w:t xml:space="preserve">124 від 18.02.2021 </w:t>
      </w:r>
      <w:r w:rsidR="00972A2C" w:rsidRPr="000E05A8">
        <w:rPr>
          <w:color w:val="000000"/>
          <w:spacing w:val="-2"/>
          <w:sz w:val="22"/>
          <w:szCs w:val="22"/>
          <w:lang w:val="uk-UA"/>
        </w:rPr>
        <w:t>року</w:t>
      </w:r>
      <w:r w:rsidR="00972A2C" w:rsidRPr="000E05A8">
        <w:rPr>
          <w:spacing w:val="-2"/>
          <w:sz w:val="22"/>
          <w:szCs w:val="22"/>
          <w:lang w:val="uk-UA"/>
        </w:rPr>
        <w:t>. Строк дії ліцензії – необмежений.</w:t>
      </w:r>
    </w:p>
    <w:p w14:paraId="40331C12" w14:textId="0D92DAFB" w:rsidR="00260D2D" w:rsidRPr="000E05A8" w:rsidRDefault="008A5F82" w:rsidP="008A5F82">
      <w:pPr>
        <w:shd w:val="clear" w:color="auto" w:fill="FFFFFF"/>
        <w:autoSpaceDE w:val="0"/>
        <w:autoSpaceDN w:val="0"/>
        <w:adjustRightInd w:val="0"/>
        <w:jc w:val="both"/>
        <w:rPr>
          <w:sz w:val="22"/>
          <w:szCs w:val="22"/>
          <w:lang w:val="uk-UA"/>
        </w:rPr>
      </w:pPr>
      <w:r w:rsidRPr="000E05A8">
        <w:rPr>
          <w:sz w:val="22"/>
          <w:szCs w:val="22"/>
          <w:lang w:val="uk-UA"/>
        </w:rPr>
        <w:t xml:space="preserve">     </w:t>
      </w:r>
      <w:r w:rsidR="00260D2D" w:rsidRPr="000E05A8">
        <w:rPr>
          <w:sz w:val="22"/>
          <w:szCs w:val="22"/>
          <w:lang w:val="uk-UA"/>
        </w:rPr>
        <w:t xml:space="preserve">Ведення бухгалтерського обліку здійснюється </w:t>
      </w:r>
      <w:r w:rsidR="009E53AB" w:rsidRPr="000E05A8">
        <w:rPr>
          <w:sz w:val="22"/>
          <w:szCs w:val="22"/>
          <w:lang w:val="uk-UA"/>
        </w:rPr>
        <w:t>головним бухгалтером</w:t>
      </w:r>
      <w:r w:rsidR="00260D2D" w:rsidRPr="000E05A8">
        <w:rPr>
          <w:sz w:val="22"/>
          <w:szCs w:val="22"/>
          <w:lang w:val="uk-UA"/>
        </w:rPr>
        <w:t xml:space="preserve"> </w:t>
      </w:r>
      <w:r w:rsidR="009E53AB" w:rsidRPr="000E05A8">
        <w:rPr>
          <w:sz w:val="22"/>
          <w:szCs w:val="22"/>
          <w:lang w:val="uk-UA"/>
        </w:rPr>
        <w:t>Єременко Вікторією Володимирівною</w:t>
      </w:r>
      <w:r w:rsidR="00260D2D" w:rsidRPr="000E05A8">
        <w:rPr>
          <w:sz w:val="22"/>
          <w:szCs w:val="22"/>
          <w:lang w:val="uk-UA"/>
        </w:rPr>
        <w:t xml:space="preserve"> на підставі </w:t>
      </w:r>
      <w:r w:rsidR="009E53AB" w:rsidRPr="000E05A8">
        <w:rPr>
          <w:sz w:val="22"/>
          <w:szCs w:val="22"/>
          <w:lang w:val="uk-UA"/>
        </w:rPr>
        <w:t>наказу</w:t>
      </w:r>
      <w:r w:rsidR="00260D2D" w:rsidRPr="000E05A8">
        <w:rPr>
          <w:sz w:val="22"/>
          <w:szCs w:val="22"/>
          <w:lang w:val="uk-UA"/>
        </w:rPr>
        <w:t xml:space="preserve"> №</w:t>
      </w:r>
      <w:r w:rsidR="00055223" w:rsidRPr="000E05A8">
        <w:rPr>
          <w:bCs/>
          <w:sz w:val="22"/>
          <w:szCs w:val="22"/>
        </w:rPr>
        <w:t>2</w:t>
      </w:r>
      <w:r w:rsidR="00055223" w:rsidRPr="000E05A8">
        <w:rPr>
          <w:bCs/>
          <w:sz w:val="22"/>
          <w:szCs w:val="22"/>
          <w:lang w:val="uk-UA"/>
        </w:rPr>
        <w:t>/К-П</w:t>
      </w:r>
      <w:r w:rsidR="00260D2D" w:rsidRPr="000E05A8">
        <w:rPr>
          <w:sz w:val="22"/>
          <w:szCs w:val="22"/>
          <w:lang w:val="uk-UA"/>
        </w:rPr>
        <w:t xml:space="preserve">  від </w:t>
      </w:r>
      <w:r w:rsidR="006048BC" w:rsidRPr="000E05A8">
        <w:rPr>
          <w:sz w:val="22"/>
          <w:szCs w:val="22"/>
          <w:lang w:val="uk-UA"/>
        </w:rPr>
        <w:t>01.01.2021</w:t>
      </w:r>
      <w:r w:rsidR="00260D2D" w:rsidRPr="000E05A8">
        <w:rPr>
          <w:sz w:val="22"/>
          <w:szCs w:val="22"/>
          <w:lang w:val="uk-UA"/>
        </w:rPr>
        <w:t xml:space="preserve">. </w:t>
      </w:r>
    </w:p>
    <w:p w14:paraId="30A8A212" w14:textId="047C228D" w:rsidR="00A32DA8" w:rsidRPr="000E05A8" w:rsidRDefault="008A5F82" w:rsidP="008A5F82">
      <w:pPr>
        <w:shd w:val="clear" w:color="auto" w:fill="FFFFFF"/>
        <w:autoSpaceDE w:val="0"/>
        <w:autoSpaceDN w:val="0"/>
        <w:adjustRightInd w:val="0"/>
        <w:jc w:val="both"/>
        <w:rPr>
          <w:sz w:val="22"/>
          <w:szCs w:val="22"/>
          <w:lang w:val="uk-UA"/>
        </w:rPr>
      </w:pPr>
      <w:r w:rsidRPr="000E05A8">
        <w:rPr>
          <w:sz w:val="22"/>
          <w:szCs w:val="22"/>
        </w:rPr>
        <w:t xml:space="preserve">     </w:t>
      </w:r>
      <w:r w:rsidR="00A32DA8" w:rsidRPr="000E05A8">
        <w:rPr>
          <w:sz w:val="22"/>
          <w:szCs w:val="22"/>
          <w:lang w:val="uk-UA"/>
        </w:rPr>
        <w:t xml:space="preserve">У звітному </w:t>
      </w:r>
      <w:r w:rsidR="007C0E80" w:rsidRPr="000E05A8">
        <w:rPr>
          <w:sz w:val="22"/>
          <w:szCs w:val="22"/>
          <w:lang w:val="uk-UA"/>
        </w:rPr>
        <w:t>періоді</w:t>
      </w:r>
      <w:r w:rsidR="00A32DA8" w:rsidRPr="000E05A8">
        <w:rPr>
          <w:sz w:val="22"/>
          <w:szCs w:val="22"/>
          <w:lang w:val="uk-UA"/>
        </w:rPr>
        <w:t xml:space="preserve"> Товариство здійснювало управління активами інституційних інвесторів, а саме:</w:t>
      </w:r>
    </w:p>
    <w:p w14:paraId="58D5728A" w14:textId="77777777" w:rsidR="0073415A" w:rsidRPr="000E05A8" w:rsidRDefault="0073415A" w:rsidP="00794809">
      <w:pPr>
        <w:shd w:val="clear" w:color="auto" w:fill="FFFFFF"/>
        <w:autoSpaceDE w:val="0"/>
        <w:autoSpaceDN w:val="0"/>
        <w:adjustRightInd w:val="0"/>
        <w:ind w:firstLine="709"/>
        <w:jc w:val="both"/>
        <w:rPr>
          <w:sz w:val="22"/>
          <w:szCs w:val="22"/>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364B52" w:rsidRPr="000E05A8" w14:paraId="5B951B59" w14:textId="77777777" w:rsidTr="00DC68DD">
        <w:trPr>
          <w:jc w:val="center"/>
        </w:trPr>
        <w:tc>
          <w:tcPr>
            <w:tcW w:w="10248" w:type="dxa"/>
            <w:gridSpan w:val="4"/>
            <w:vAlign w:val="center"/>
          </w:tcPr>
          <w:p w14:paraId="6D792534" w14:textId="25E2357A" w:rsidR="0073415A" w:rsidRPr="00DC68DD" w:rsidRDefault="00270EB6" w:rsidP="00187A00">
            <w:pPr>
              <w:ind w:right="57"/>
              <w:rPr>
                <w:b/>
                <w:bCs/>
                <w:sz w:val="22"/>
                <w:szCs w:val="22"/>
              </w:rPr>
            </w:pPr>
            <w:r w:rsidRPr="00DC68DD">
              <w:rPr>
                <w:b/>
                <w:bCs/>
                <w:sz w:val="22"/>
                <w:szCs w:val="22"/>
              </w:rPr>
              <w:t>АКЦІОНЕРНЕ ТОВАРИСТВО "ЗАКРИТИЙ НЕДИВЕРСИФІКОВАНИЙ ВЕНЧУРНИЙ КОРПОРАТИВНИЙ ІНВЕСТИЦІЙНИЙ ФОНД "ДЖОРДЖІЯ" (АТ "ДЖОРДЖІЯ")</w:t>
            </w:r>
          </w:p>
        </w:tc>
      </w:tr>
      <w:tr w:rsidR="00364B52" w:rsidRPr="000E05A8" w14:paraId="75611972" w14:textId="77777777" w:rsidTr="00DC68DD">
        <w:trPr>
          <w:gridAfter w:val="1"/>
          <w:wAfter w:w="8" w:type="dxa"/>
          <w:trHeight w:val="482"/>
          <w:jc w:val="center"/>
        </w:trPr>
        <w:tc>
          <w:tcPr>
            <w:tcW w:w="701" w:type="dxa"/>
            <w:vAlign w:val="center"/>
          </w:tcPr>
          <w:p w14:paraId="02470F0F" w14:textId="492F61F4" w:rsidR="0073415A" w:rsidRPr="00DC68DD" w:rsidRDefault="0073415A" w:rsidP="00DC68DD">
            <w:pPr>
              <w:pStyle w:val="a8"/>
              <w:numPr>
                <w:ilvl w:val="0"/>
                <w:numId w:val="34"/>
              </w:numPr>
              <w:ind w:right="57"/>
              <w:rPr>
                <w:sz w:val="20"/>
                <w:szCs w:val="20"/>
              </w:rPr>
            </w:pPr>
          </w:p>
        </w:tc>
        <w:tc>
          <w:tcPr>
            <w:tcW w:w="3260" w:type="dxa"/>
            <w:vAlign w:val="center"/>
          </w:tcPr>
          <w:p w14:paraId="7B19713C" w14:textId="77777777" w:rsidR="0073415A" w:rsidRPr="000E05A8" w:rsidRDefault="0073415A" w:rsidP="00AF67C9">
            <w:pPr>
              <w:ind w:left="57" w:right="57"/>
              <w:rPr>
                <w:sz w:val="20"/>
                <w:szCs w:val="20"/>
              </w:rPr>
            </w:pPr>
            <w:r w:rsidRPr="000E05A8">
              <w:rPr>
                <w:sz w:val="20"/>
                <w:szCs w:val="20"/>
                <w:lang w:val="uk-UA"/>
              </w:rPr>
              <w:t>Ідентифікаційний</w:t>
            </w:r>
            <w:r w:rsidRPr="000E05A8">
              <w:rPr>
                <w:sz w:val="20"/>
                <w:szCs w:val="20"/>
              </w:rPr>
              <w:t xml:space="preserve"> код</w:t>
            </w:r>
            <w:r w:rsidRPr="000E05A8">
              <w:rPr>
                <w:sz w:val="20"/>
                <w:szCs w:val="20"/>
                <w:lang w:val="uk-UA"/>
              </w:rPr>
              <w:t xml:space="preserve"> юридичної</w:t>
            </w:r>
            <w:r w:rsidRPr="000E05A8">
              <w:rPr>
                <w:sz w:val="20"/>
                <w:szCs w:val="20"/>
              </w:rPr>
              <w:t xml:space="preserve"> особи</w:t>
            </w:r>
          </w:p>
        </w:tc>
        <w:tc>
          <w:tcPr>
            <w:tcW w:w="6279" w:type="dxa"/>
            <w:vAlign w:val="center"/>
          </w:tcPr>
          <w:p w14:paraId="1A1A133F" w14:textId="07A60931" w:rsidR="0073415A" w:rsidRPr="000E05A8" w:rsidRDefault="00B17074" w:rsidP="00AF67C9">
            <w:pPr>
              <w:ind w:left="57" w:right="57"/>
              <w:rPr>
                <w:sz w:val="20"/>
                <w:szCs w:val="20"/>
              </w:rPr>
            </w:pPr>
            <w:r w:rsidRPr="000E05A8">
              <w:rPr>
                <w:sz w:val="20"/>
                <w:szCs w:val="20"/>
              </w:rPr>
              <w:t>43938348</w:t>
            </w:r>
          </w:p>
        </w:tc>
      </w:tr>
      <w:tr w:rsidR="00364B52" w:rsidRPr="000E05A8" w14:paraId="4BE553E2" w14:textId="77777777" w:rsidTr="00DC68DD">
        <w:trPr>
          <w:gridAfter w:val="1"/>
          <w:wAfter w:w="8" w:type="dxa"/>
          <w:trHeight w:val="482"/>
          <w:jc w:val="center"/>
        </w:trPr>
        <w:tc>
          <w:tcPr>
            <w:tcW w:w="701" w:type="dxa"/>
            <w:vAlign w:val="center"/>
          </w:tcPr>
          <w:p w14:paraId="291A2825" w14:textId="1EDDCAD6" w:rsidR="0073415A" w:rsidRPr="00DC68DD" w:rsidRDefault="0073415A" w:rsidP="00DC68DD">
            <w:pPr>
              <w:pStyle w:val="a8"/>
              <w:numPr>
                <w:ilvl w:val="0"/>
                <w:numId w:val="34"/>
              </w:numPr>
              <w:ind w:right="57"/>
              <w:jc w:val="center"/>
              <w:rPr>
                <w:sz w:val="20"/>
                <w:szCs w:val="20"/>
              </w:rPr>
            </w:pPr>
          </w:p>
        </w:tc>
        <w:tc>
          <w:tcPr>
            <w:tcW w:w="3260" w:type="dxa"/>
            <w:vAlign w:val="center"/>
          </w:tcPr>
          <w:p w14:paraId="6B82E57C" w14:textId="77777777" w:rsidR="0073415A" w:rsidRPr="000E05A8" w:rsidRDefault="0073415A" w:rsidP="00AF67C9">
            <w:pPr>
              <w:ind w:left="57" w:right="57"/>
              <w:rPr>
                <w:sz w:val="20"/>
                <w:szCs w:val="20"/>
              </w:rPr>
            </w:pPr>
            <w:r w:rsidRPr="000E05A8">
              <w:rPr>
                <w:sz w:val="20"/>
                <w:szCs w:val="20"/>
              </w:rPr>
              <w:t>КВЕД-2010</w:t>
            </w:r>
          </w:p>
        </w:tc>
        <w:tc>
          <w:tcPr>
            <w:tcW w:w="6279" w:type="dxa"/>
            <w:vAlign w:val="center"/>
          </w:tcPr>
          <w:p w14:paraId="547948A9" w14:textId="1F970DBC" w:rsidR="0073415A" w:rsidRPr="000E05A8" w:rsidRDefault="00B17074" w:rsidP="00AF67C9">
            <w:pPr>
              <w:ind w:left="57" w:right="57"/>
              <w:rPr>
                <w:sz w:val="20"/>
                <w:szCs w:val="20"/>
              </w:rPr>
            </w:pPr>
            <w:r w:rsidRPr="000E05A8">
              <w:rPr>
                <w:sz w:val="20"/>
                <w:szCs w:val="20"/>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364B52" w:rsidRPr="000E05A8" w14:paraId="4A0AE40A" w14:textId="77777777" w:rsidTr="00DC68DD">
        <w:trPr>
          <w:gridAfter w:val="1"/>
          <w:wAfter w:w="8" w:type="dxa"/>
          <w:trHeight w:val="482"/>
          <w:jc w:val="center"/>
        </w:trPr>
        <w:tc>
          <w:tcPr>
            <w:tcW w:w="701" w:type="dxa"/>
            <w:vAlign w:val="center"/>
          </w:tcPr>
          <w:p w14:paraId="37CFF2CC" w14:textId="3DBB30CF" w:rsidR="0073415A" w:rsidRPr="00C80210" w:rsidRDefault="0073415A" w:rsidP="00DC68DD">
            <w:pPr>
              <w:pStyle w:val="a8"/>
              <w:numPr>
                <w:ilvl w:val="0"/>
                <w:numId w:val="34"/>
              </w:numPr>
              <w:ind w:right="57"/>
              <w:jc w:val="center"/>
              <w:rPr>
                <w:sz w:val="20"/>
                <w:szCs w:val="20"/>
              </w:rPr>
            </w:pPr>
          </w:p>
        </w:tc>
        <w:tc>
          <w:tcPr>
            <w:tcW w:w="3260" w:type="dxa"/>
            <w:vAlign w:val="center"/>
          </w:tcPr>
          <w:p w14:paraId="3FA252F4" w14:textId="77777777" w:rsidR="0073415A" w:rsidRPr="000E05A8" w:rsidRDefault="0073415A" w:rsidP="00AF67C9">
            <w:pPr>
              <w:ind w:left="57" w:right="57"/>
              <w:rPr>
                <w:sz w:val="20"/>
                <w:szCs w:val="20"/>
                <w:lang w:val="uk-UA"/>
              </w:rPr>
            </w:pPr>
            <w:r w:rsidRPr="000E05A8">
              <w:rPr>
                <w:sz w:val="20"/>
                <w:szCs w:val="20"/>
              </w:rPr>
              <w:t>Тип, вид Фонду</w:t>
            </w:r>
          </w:p>
        </w:tc>
        <w:tc>
          <w:tcPr>
            <w:tcW w:w="6279" w:type="dxa"/>
            <w:vAlign w:val="center"/>
          </w:tcPr>
          <w:p w14:paraId="5155221F" w14:textId="77777777" w:rsidR="0073415A" w:rsidRPr="000E05A8" w:rsidRDefault="0073415A" w:rsidP="00AF67C9">
            <w:pPr>
              <w:ind w:left="57" w:right="57"/>
              <w:rPr>
                <w:sz w:val="20"/>
                <w:szCs w:val="20"/>
              </w:rPr>
            </w:pPr>
            <w:r w:rsidRPr="000E05A8">
              <w:rPr>
                <w:sz w:val="20"/>
                <w:szCs w:val="20"/>
                <w:lang w:val="uk-UA"/>
              </w:rPr>
              <w:t>Закритий</w:t>
            </w:r>
            <w:r w:rsidRPr="000E05A8">
              <w:rPr>
                <w:sz w:val="20"/>
                <w:szCs w:val="20"/>
              </w:rPr>
              <w:t>,</w:t>
            </w:r>
            <w:r w:rsidRPr="000E05A8">
              <w:rPr>
                <w:sz w:val="20"/>
                <w:szCs w:val="20"/>
                <w:lang w:val="uk-UA"/>
              </w:rPr>
              <w:t xml:space="preserve"> недиверсифікований</w:t>
            </w:r>
          </w:p>
        </w:tc>
      </w:tr>
      <w:tr w:rsidR="00364B52" w:rsidRPr="000E05A8" w14:paraId="5883D6CC" w14:textId="77777777" w:rsidTr="00DC68DD">
        <w:trPr>
          <w:gridAfter w:val="1"/>
          <w:wAfter w:w="8" w:type="dxa"/>
          <w:jc w:val="center"/>
        </w:trPr>
        <w:tc>
          <w:tcPr>
            <w:tcW w:w="701" w:type="dxa"/>
            <w:vAlign w:val="center"/>
          </w:tcPr>
          <w:p w14:paraId="1EDB393D" w14:textId="514C5076" w:rsidR="0073415A" w:rsidRPr="00DC68DD" w:rsidRDefault="0073415A" w:rsidP="00DC68DD">
            <w:pPr>
              <w:pStyle w:val="a8"/>
              <w:numPr>
                <w:ilvl w:val="0"/>
                <w:numId w:val="34"/>
              </w:numPr>
              <w:ind w:right="57"/>
              <w:jc w:val="center"/>
              <w:rPr>
                <w:sz w:val="20"/>
                <w:szCs w:val="20"/>
              </w:rPr>
            </w:pPr>
          </w:p>
        </w:tc>
        <w:tc>
          <w:tcPr>
            <w:tcW w:w="3260" w:type="dxa"/>
            <w:vAlign w:val="center"/>
          </w:tcPr>
          <w:p w14:paraId="5B2F9853" w14:textId="77777777" w:rsidR="0073415A" w:rsidRPr="000E05A8" w:rsidRDefault="0073415A" w:rsidP="00AF67C9">
            <w:pPr>
              <w:ind w:left="57" w:right="57"/>
              <w:rPr>
                <w:sz w:val="20"/>
                <w:szCs w:val="20"/>
                <w:lang w:val="uk-UA"/>
              </w:rPr>
            </w:pPr>
            <w:r w:rsidRPr="000E05A8">
              <w:rPr>
                <w:sz w:val="20"/>
                <w:szCs w:val="20"/>
              </w:rPr>
              <w:t>№</w:t>
            </w:r>
            <w:r w:rsidRPr="000E05A8">
              <w:rPr>
                <w:sz w:val="20"/>
                <w:szCs w:val="20"/>
                <w:lang w:val="uk-UA"/>
              </w:rPr>
              <w:t xml:space="preserve"> свідоцтва</w:t>
            </w:r>
            <w:r w:rsidRPr="000E05A8">
              <w:rPr>
                <w:sz w:val="20"/>
                <w:szCs w:val="20"/>
              </w:rPr>
              <w:t xml:space="preserve"> про</w:t>
            </w:r>
            <w:r w:rsidRPr="000E05A8">
              <w:rPr>
                <w:sz w:val="20"/>
                <w:szCs w:val="20"/>
                <w:lang w:val="uk-UA"/>
              </w:rPr>
              <w:t xml:space="preserve"> реєстрацію</w:t>
            </w:r>
            <w:r w:rsidRPr="000E05A8">
              <w:rPr>
                <w:sz w:val="20"/>
                <w:szCs w:val="20"/>
              </w:rPr>
              <w:t xml:space="preserve"> та дата</w:t>
            </w:r>
            <w:r w:rsidRPr="000E05A8">
              <w:rPr>
                <w:sz w:val="20"/>
                <w:szCs w:val="20"/>
                <w:lang w:val="uk-UA"/>
              </w:rPr>
              <w:t xml:space="preserve"> видачі свідоцтва</w:t>
            </w:r>
          </w:p>
        </w:tc>
        <w:tc>
          <w:tcPr>
            <w:tcW w:w="6279" w:type="dxa"/>
            <w:vAlign w:val="center"/>
          </w:tcPr>
          <w:p w14:paraId="4BF386B6" w14:textId="63E0BCD0" w:rsidR="0073415A" w:rsidRPr="000E05A8" w:rsidRDefault="00EA0F7C" w:rsidP="00AF67C9">
            <w:pPr>
              <w:ind w:left="57" w:right="57"/>
              <w:rPr>
                <w:sz w:val="20"/>
                <w:szCs w:val="20"/>
              </w:rPr>
            </w:pPr>
            <w:r w:rsidRPr="000E05A8">
              <w:rPr>
                <w:color w:val="000000"/>
                <w:spacing w:val="-2"/>
                <w:sz w:val="20"/>
                <w:szCs w:val="20"/>
                <w:lang w:val="uk-UA"/>
              </w:rPr>
              <w:t>№ 01057 від 10.12.2020 року</w:t>
            </w:r>
          </w:p>
        </w:tc>
      </w:tr>
      <w:tr w:rsidR="00364B52" w:rsidRPr="000E05A8" w14:paraId="2B104C69" w14:textId="77777777" w:rsidTr="00DC68DD">
        <w:trPr>
          <w:gridAfter w:val="1"/>
          <w:wAfter w:w="8" w:type="dxa"/>
          <w:jc w:val="center"/>
        </w:trPr>
        <w:tc>
          <w:tcPr>
            <w:tcW w:w="701" w:type="dxa"/>
            <w:vAlign w:val="center"/>
          </w:tcPr>
          <w:p w14:paraId="54D4326A" w14:textId="77B7A1D8" w:rsidR="0073415A" w:rsidRPr="00DC68DD" w:rsidRDefault="0073415A" w:rsidP="00DC68DD">
            <w:pPr>
              <w:pStyle w:val="a8"/>
              <w:numPr>
                <w:ilvl w:val="0"/>
                <w:numId w:val="34"/>
              </w:numPr>
              <w:ind w:right="57"/>
              <w:jc w:val="center"/>
              <w:rPr>
                <w:sz w:val="20"/>
                <w:szCs w:val="20"/>
              </w:rPr>
            </w:pPr>
          </w:p>
        </w:tc>
        <w:tc>
          <w:tcPr>
            <w:tcW w:w="3260" w:type="dxa"/>
            <w:vAlign w:val="center"/>
          </w:tcPr>
          <w:p w14:paraId="6B9EF255" w14:textId="77777777" w:rsidR="0073415A" w:rsidRPr="000E05A8" w:rsidRDefault="0073415A" w:rsidP="00AF67C9">
            <w:pPr>
              <w:ind w:left="57" w:right="57"/>
              <w:rPr>
                <w:sz w:val="20"/>
                <w:szCs w:val="20"/>
              </w:rPr>
            </w:pPr>
            <w:r w:rsidRPr="000E05A8">
              <w:rPr>
                <w:sz w:val="20"/>
                <w:szCs w:val="20"/>
              </w:rPr>
              <w:t xml:space="preserve">Код за ЄДРІСІ </w:t>
            </w:r>
          </w:p>
        </w:tc>
        <w:tc>
          <w:tcPr>
            <w:tcW w:w="6279" w:type="dxa"/>
            <w:vAlign w:val="center"/>
          </w:tcPr>
          <w:p w14:paraId="4BC3A150" w14:textId="410BB543" w:rsidR="0073415A" w:rsidRPr="000E05A8" w:rsidRDefault="00C43646" w:rsidP="00AF67C9">
            <w:pPr>
              <w:ind w:left="57" w:right="57"/>
              <w:rPr>
                <w:sz w:val="20"/>
                <w:szCs w:val="20"/>
              </w:rPr>
            </w:pPr>
            <w:r w:rsidRPr="000E05A8">
              <w:rPr>
                <w:sz w:val="20"/>
                <w:szCs w:val="20"/>
              </w:rPr>
              <w:t>13301057</w:t>
            </w:r>
          </w:p>
        </w:tc>
      </w:tr>
      <w:tr w:rsidR="00364B52" w:rsidRPr="000E05A8" w14:paraId="5BF69E63" w14:textId="77777777" w:rsidTr="00DC68DD">
        <w:trPr>
          <w:gridAfter w:val="1"/>
          <w:wAfter w:w="8" w:type="dxa"/>
          <w:jc w:val="center"/>
        </w:trPr>
        <w:tc>
          <w:tcPr>
            <w:tcW w:w="701" w:type="dxa"/>
            <w:vAlign w:val="center"/>
          </w:tcPr>
          <w:p w14:paraId="2B502386" w14:textId="5AC8D9A6" w:rsidR="0073415A" w:rsidRPr="00DC68DD" w:rsidRDefault="0073415A" w:rsidP="00DC68DD">
            <w:pPr>
              <w:pStyle w:val="a8"/>
              <w:numPr>
                <w:ilvl w:val="0"/>
                <w:numId w:val="34"/>
              </w:numPr>
              <w:ind w:right="57"/>
              <w:jc w:val="center"/>
              <w:rPr>
                <w:sz w:val="20"/>
                <w:szCs w:val="20"/>
              </w:rPr>
            </w:pPr>
          </w:p>
        </w:tc>
        <w:tc>
          <w:tcPr>
            <w:tcW w:w="3260" w:type="dxa"/>
            <w:vAlign w:val="center"/>
          </w:tcPr>
          <w:p w14:paraId="3C6F9B2E" w14:textId="77777777" w:rsidR="0073415A" w:rsidRPr="000E05A8" w:rsidRDefault="0073415A" w:rsidP="00AF67C9">
            <w:pPr>
              <w:ind w:left="57" w:right="57"/>
              <w:rPr>
                <w:sz w:val="20"/>
                <w:szCs w:val="20"/>
              </w:rPr>
            </w:pPr>
            <w:r w:rsidRPr="000E05A8">
              <w:rPr>
                <w:sz w:val="20"/>
                <w:szCs w:val="20"/>
              </w:rPr>
              <w:t>Строк діяльності</w:t>
            </w:r>
          </w:p>
        </w:tc>
        <w:tc>
          <w:tcPr>
            <w:tcW w:w="6279" w:type="dxa"/>
            <w:vAlign w:val="center"/>
          </w:tcPr>
          <w:p w14:paraId="20A102D6" w14:textId="4D9105CA" w:rsidR="0073415A" w:rsidRPr="000E05A8" w:rsidRDefault="00E729F5" w:rsidP="00AF67C9">
            <w:pPr>
              <w:ind w:left="57" w:right="57"/>
              <w:rPr>
                <w:sz w:val="20"/>
                <w:szCs w:val="20"/>
              </w:rPr>
            </w:pPr>
            <w:r w:rsidRPr="000E05A8">
              <w:rPr>
                <w:sz w:val="20"/>
                <w:szCs w:val="20"/>
                <w:lang w:val="uk-UA"/>
              </w:rPr>
              <w:t>50</w:t>
            </w:r>
            <w:r w:rsidR="0073415A" w:rsidRPr="000E05A8">
              <w:rPr>
                <w:sz w:val="20"/>
                <w:szCs w:val="20"/>
              </w:rPr>
              <w:t xml:space="preserve"> (</w:t>
            </w:r>
            <w:r w:rsidR="00DB61D1" w:rsidRPr="000E05A8">
              <w:rPr>
                <w:sz w:val="20"/>
                <w:szCs w:val="20"/>
                <w:lang w:val="uk-UA"/>
              </w:rPr>
              <w:t>п’ятдесят</w:t>
            </w:r>
            <w:r w:rsidR="0073415A" w:rsidRPr="000E05A8">
              <w:rPr>
                <w:sz w:val="20"/>
                <w:szCs w:val="20"/>
              </w:rPr>
              <w:t>) років з дати реєстрації в ЄДРІСІ</w:t>
            </w:r>
          </w:p>
        </w:tc>
      </w:tr>
      <w:tr w:rsidR="00364B52" w:rsidRPr="000E05A8" w14:paraId="6A1FACEB" w14:textId="77777777" w:rsidTr="00DC68DD">
        <w:trPr>
          <w:gridAfter w:val="1"/>
          <w:wAfter w:w="8" w:type="dxa"/>
          <w:jc w:val="center"/>
        </w:trPr>
        <w:tc>
          <w:tcPr>
            <w:tcW w:w="701" w:type="dxa"/>
            <w:vAlign w:val="center"/>
          </w:tcPr>
          <w:p w14:paraId="1F272338" w14:textId="66528AA5" w:rsidR="0073415A" w:rsidRPr="00DC68DD" w:rsidRDefault="0073415A" w:rsidP="00DC68DD">
            <w:pPr>
              <w:pStyle w:val="a8"/>
              <w:numPr>
                <w:ilvl w:val="0"/>
                <w:numId w:val="34"/>
              </w:numPr>
              <w:ind w:right="57"/>
              <w:jc w:val="center"/>
              <w:rPr>
                <w:sz w:val="20"/>
                <w:szCs w:val="20"/>
              </w:rPr>
            </w:pPr>
          </w:p>
        </w:tc>
        <w:tc>
          <w:tcPr>
            <w:tcW w:w="3260" w:type="dxa"/>
            <w:vAlign w:val="center"/>
          </w:tcPr>
          <w:p w14:paraId="3B7EDA5C" w14:textId="77777777" w:rsidR="0073415A" w:rsidRPr="000E05A8" w:rsidRDefault="0073415A" w:rsidP="00AF67C9">
            <w:pPr>
              <w:ind w:left="57" w:right="57"/>
              <w:rPr>
                <w:sz w:val="20"/>
                <w:szCs w:val="20"/>
              </w:rPr>
            </w:pPr>
            <w:r w:rsidRPr="000E05A8">
              <w:rPr>
                <w:sz w:val="20"/>
                <w:szCs w:val="20"/>
              </w:rPr>
              <w:t>Місцезнаходження юридичної особи</w:t>
            </w:r>
          </w:p>
        </w:tc>
        <w:tc>
          <w:tcPr>
            <w:tcW w:w="6279" w:type="dxa"/>
            <w:vAlign w:val="center"/>
          </w:tcPr>
          <w:p w14:paraId="0C8BCC0C" w14:textId="5A1F6FAF" w:rsidR="0073415A" w:rsidRPr="000E05A8" w:rsidRDefault="000C0AD4" w:rsidP="00AF67C9">
            <w:pPr>
              <w:ind w:left="57" w:right="57"/>
              <w:rPr>
                <w:sz w:val="20"/>
                <w:szCs w:val="20"/>
              </w:rPr>
            </w:pPr>
            <w:r w:rsidRPr="000E05A8">
              <w:rPr>
                <w:sz w:val="20"/>
                <w:szCs w:val="20"/>
              </w:rPr>
              <w:t>Україна, 03022, місто Київ, вул.Жуковського Василя, будинок 15, корпус 3</w:t>
            </w:r>
          </w:p>
        </w:tc>
      </w:tr>
    </w:tbl>
    <w:p w14:paraId="78A0E6C4" w14:textId="77777777" w:rsidR="007C0E80" w:rsidRPr="000E05A8" w:rsidRDefault="007C0E80" w:rsidP="00794809">
      <w:pPr>
        <w:shd w:val="clear" w:color="auto" w:fill="FFFFFF"/>
        <w:autoSpaceDE w:val="0"/>
        <w:autoSpaceDN w:val="0"/>
        <w:adjustRightInd w:val="0"/>
        <w:ind w:firstLine="709"/>
        <w:jc w:val="both"/>
        <w:rPr>
          <w:sz w:val="22"/>
          <w:szCs w:val="22"/>
        </w:rPr>
      </w:pPr>
    </w:p>
    <w:p w14:paraId="47A23403"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2. Загальна основа формування проміжної фінансової звітності</w:t>
      </w:r>
    </w:p>
    <w:p w14:paraId="34B22458"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 xml:space="preserve">2.1. </w:t>
      </w:r>
      <w:r w:rsidRPr="000E05A8">
        <w:rPr>
          <w:b/>
          <w:sz w:val="22"/>
          <w:szCs w:val="22"/>
          <w:lang w:val="uk-UA"/>
        </w:rPr>
        <w:t>Достовірне подання та відповідність МСФЗ</w:t>
      </w:r>
    </w:p>
    <w:p w14:paraId="312901DC" w14:textId="77777777" w:rsidR="00752554" w:rsidRPr="000E05A8" w:rsidRDefault="00752554" w:rsidP="00794809">
      <w:pPr>
        <w:shd w:val="clear" w:color="auto" w:fill="FFFFFF"/>
        <w:autoSpaceDE w:val="0"/>
        <w:autoSpaceDN w:val="0"/>
        <w:adjustRightInd w:val="0"/>
        <w:ind w:firstLine="709"/>
        <w:jc w:val="both"/>
        <w:rPr>
          <w:sz w:val="22"/>
          <w:szCs w:val="22"/>
          <w:lang w:val="uk-UA" w:eastAsia="uk-UA"/>
        </w:rPr>
      </w:pPr>
      <w:r w:rsidRPr="000E05A8">
        <w:rPr>
          <w:sz w:val="22"/>
          <w:szCs w:val="22"/>
          <w:lang w:val="uk-UA" w:eastAsia="uk-UA"/>
        </w:rPr>
        <w:t xml:space="preserve">Проміжна 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0D39301D" w14:textId="71821590" w:rsidR="00752554" w:rsidRPr="000E05A8" w:rsidRDefault="00752554" w:rsidP="00794809">
      <w:pPr>
        <w:shd w:val="clear" w:color="auto" w:fill="FFFFFF"/>
        <w:autoSpaceDE w:val="0"/>
        <w:autoSpaceDN w:val="0"/>
        <w:adjustRightInd w:val="0"/>
        <w:ind w:firstLine="709"/>
        <w:jc w:val="both"/>
        <w:rPr>
          <w:sz w:val="22"/>
          <w:szCs w:val="22"/>
          <w:lang w:val="uk-UA" w:eastAsia="uk-UA"/>
        </w:rPr>
      </w:pPr>
      <w:r w:rsidRPr="000E05A8">
        <w:rPr>
          <w:sz w:val="22"/>
          <w:szCs w:val="22"/>
          <w:lang w:val="uk-UA" w:eastAsia="uk-UA"/>
        </w:rPr>
        <w:t>Концептуальною основою фінансової звітності Товариства за період</w:t>
      </w:r>
      <w:r w:rsidRPr="000E05A8">
        <w:rPr>
          <w:color w:val="FF0000"/>
          <w:sz w:val="22"/>
          <w:szCs w:val="22"/>
          <w:lang w:val="uk-UA"/>
        </w:rPr>
        <w:t xml:space="preserve"> </w:t>
      </w:r>
      <w:r w:rsidRPr="000E05A8">
        <w:rPr>
          <w:sz w:val="22"/>
          <w:szCs w:val="22"/>
          <w:lang w:val="uk-UA"/>
        </w:rPr>
        <w:t xml:space="preserve">з </w:t>
      </w:r>
      <w:r w:rsidR="00972A2C" w:rsidRPr="000E05A8">
        <w:rPr>
          <w:sz w:val="22"/>
          <w:szCs w:val="22"/>
          <w:lang w:val="uk-UA"/>
        </w:rPr>
        <w:t xml:space="preserve">01.01.2021 року по </w:t>
      </w:r>
      <w:r w:rsidR="00980979" w:rsidRPr="000E05A8">
        <w:rPr>
          <w:sz w:val="22"/>
          <w:szCs w:val="22"/>
          <w:lang w:val="uk-UA"/>
        </w:rPr>
        <w:t>31.03.2021</w:t>
      </w:r>
      <w:r w:rsidR="00972A2C" w:rsidRPr="000E05A8">
        <w:rPr>
          <w:sz w:val="22"/>
          <w:szCs w:val="22"/>
          <w:lang w:val="uk-UA"/>
        </w:rPr>
        <w:t xml:space="preserve"> року</w:t>
      </w:r>
      <w:r w:rsidRPr="000E05A8">
        <w:rPr>
          <w:sz w:val="22"/>
          <w:szCs w:val="22"/>
          <w:lang w:val="uk-UA"/>
        </w:rPr>
        <w:t>,</w:t>
      </w:r>
      <w:r w:rsidRPr="000E05A8">
        <w:rPr>
          <w:sz w:val="22"/>
          <w:szCs w:val="22"/>
          <w:lang w:val="uk-UA" w:eastAsia="uk-UA"/>
        </w:rPr>
        <w:t xml:space="preserve"> що закінчився </w:t>
      </w:r>
      <w:r w:rsidR="00980979" w:rsidRPr="000E05A8">
        <w:rPr>
          <w:sz w:val="22"/>
          <w:szCs w:val="22"/>
          <w:lang w:val="uk-UA" w:eastAsia="uk-UA"/>
        </w:rPr>
        <w:t>31 березня 2021</w:t>
      </w:r>
      <w:r w:rsidR="00FA7519" w:rsidRPr="000E05A8">
        <w:rPr>
          <w:sz w:val="22"/>
          <w:szCs w:val="22"/>
          <w:lang w:val="uk-UA" w:eastAsia="uk-UA"/>
        </w:rPr>
        <w:t xml:space="preserve"> року</w:t>
      </w:r>
      <w:r w:rsidRPr="000E05A8">
        <w:rPr>
          <w:sz w:val="22"/>
          <w:szCs w:val="22"/>
          <w:lang w:val="uk-UA" w:eastAsia="uk-UA"/>
        </w:rPr>
        <w:t>,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01 січня 20</w:t>
      </w:r>
      <w:r w:rsidR="00F47F02" w:rsidRPr="000E05A8">
        <w:rPr>
          <w:sz w:val="22"/>
          <w:szCs w:val="22"/>
          <w:lang w:val="uk-UA" w:eastAsia="uk-UA"/>
        </w:rPr>
        <w:t>2</w:t>
      </w:r>
      <w:r w:rsidR="00C80210">
        <w:rPr>
          <w:sz w:val="22"/>
          <w:szCs w:val="22"/>
          <w:lang w:val="uk-UA" w:eastAsia="uk-UA"/>
        </w:rPr>
        <w:t>1</w:t>
      </w:r>
      <w:r w:rsidRPr="000E05A8">
        <w:rPr>
          <w:sz w:val="22"/>
          <w:szCs w:val="22"/>
          <w:lang w:val="uk-UA" w:eastAsia="uk-UA"/>
        </w:rPr>
        <w:t xml:space="preserve"> року, що офіційно оприлюдненні на веб-сайті Міністерства фінансів України.</w:t>
      </w:r>
    </w:p>
    <w:p w14:paraId="65F77E2F" w14:textId="77777777" w:rsidR="00752554" w:rsidRPr="000E05A8" w:rsidRDefault="00752554" w:rsidP="00794809">
      <w:pPr>
        <w:shd w:val="clear" w:color="auto" w:fill="FFFFFF"/>
        <w:autoSpaceDE w:val="0"/>
        <w:autoSpaceDN w:val="0"/>
        <w:adjustRightInd w:val="0"/>
        <w:ind w:firstLine="709"/>
        <w:jc w:val="both"/>
        <w:rPr>
          <w:sz w:val="22"/>
          <w:szCs w:val="22"/>
          <w:lang w:val="uk-UA" w:eastAsia="uk-UA"/>
        </w:rPr>
      </w:pPr>
      <w:r w:rsidRPr="000E05A8">
        <w:rPr>
          <w:sz w:val="22"/>
          <w:szCs w:val="22"/>
          <w:lang w:val="uk-UA" w:eastAsia="uk-UA"/>
        </w:rPr>
        <w:t>Підготовлена Товариством проміжна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62B0AD02" w14:textId="77777777" w:rsidR="00752554" w:rsidRPr="000E05A8" w:rsidRDefault="00752554" w:rsidP="00794809">
      <w:pPr>
        <w:shd w:val="clear" w:color="auto" w:fill="FFFFFF"/>
        <w:autoSpaceDE w:val="0"/>
        <w:autoSpaceDN w:val="0"/>
        <w:adjustRightInd w:val="0"/>
        <w:ind w:firstLine="709"/>
        <w:jc w:val="both"/>
        <w:rPr>
          <w:sz w:val="22"/>
          <w:szCs w:val="22"/>
          <w:lang w:val="uk-UA" w:eastAsia="uk-UA"/>
        </w:rPr>
      </w:pPr>
      <w:r w:rsidRPr="000E05A8">
        <w:rPr>
          <w:sz w:val="22"/>
          <w:szCs w:val="22"/>
          <w:lang w:val="uk-UA" w:eastAsia="uk-UA"/>
        </w:rPr>
        <w:t>При формуванні проміжної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14:paraId="2EEA210F" w14:textId="77777777" w:rsidR="00752554" w:rsidRPr="000E05A8" w:rsidRDefault="00752554" w:rsidP="00794809">
      <w:pPr>
        <w:shd w:val="clear" w:color="auto" w:fill="FFFFFF"/>
        <w:autoSpaceDE w:val="0"/>
        <w:autoSpaceDN w:val="0"/>
        <w:adjustRightInd w:val="0"/>
        <w:ind w:firstLine="709"/>
        <w:jc w:val="both"/>
        <w:rPr>
          <w:sz w:val="22"/>
          <w:szCs w:val="22"/>
          <w:lang w:val="uk-UA" w:eastAsia="uk-UA"/>
        </w:rPr>
      </w:pPr>
    </w:p>
    <w:p w14:paraId="67031589"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2.2. Валюта подання звітності та функціональна валюта, ступінь округлення</w:t>
      </w:r>
    </w:p>
    <w:p w14:paraId="7C5E27D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14:paraId="432B8C12" w14:textId="77777777" w:rsidR="00752554" w:rsidRPr="000E05A8" w:rsidRDefault="00752554" w:rsidP="00794809">
      <w:pPr>
        <w:shd w:val="clear" w:color="auto" w:fill="FFFFFF"/>
        <w:ind w:firstLine="709"/>
        <w:jc w:val="both"/>
        <w:outlineLvl w:val="0"/>
        <w:rPr>
          <w:b/>
          <w:bCs/>
          <w:spacing w:val="-2"/>
          <w:sz w:val="22"/>
          <w:szCs w:val="22"/>
          <w:lang w:val="uk-UA"/>
        </w:rPr>
      </w:pPr>
    </w:p>
    <w:p w14:paraId="78A95917"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2.3. Припущення про безперервність діяльності</w:t>
      </w:r>
    </w:p>
    <w:p w14:paraId="4651C62C" w14:textId="77777777" w:rsidR="00085E60" w:rsidRPr="000E05A8" w:rsidRDefault="00752554" w:rsidP="00085E60">
      <w:pPr>
        <w:shd w:val="clear" w:color="auto" w:fill="FFFFFF"/>
        <w:autoSpaceDE w:val="0"/>
        <w:autoSpaceDN w:val="0"/>
        <w:adjustRightInd w:val="0"/>
        <w:ind w:firstLine="709"/>
        <w:jc w:val="both"/>
        <w:rPr>
          <w:sz w:val="22"/>
          <w:szCs w:val="22"/>
          <w:lang w:val="uk-UA"/>
        </w:rPr>
      </w:pPr>
      <w:r w:rsidRPr="000E05A8">
        <w:rPr>
          <w:sz w:val="22"/>
          <w:szCs w:val="22"/>
          <w:lang w:val="uk-UA"/>
        </w:rPr>
        <w:t>Проміжна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Проміжна фінансова звітність не 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r w:rsidR="00085E60" w:rsidRPr="000E05A8">
        <w:rPr>
          <w:sz w:val="22"/>
          <w:szCs w:val="22"/>
          <w:lang w:val="uk-UA"/>
        </w:rPr>
        <w:t xml:space="preserve"> </w:t>
      </w:r>
    </w:p>
    <w:p w14:paraId="2B53631F" w14:textId="112151F4" w:rsidR="00104D0E" w:rsidRPr="000E05A8" w:rsidRDefault="00104D0E" w:rsidP="00085E60">
      <w:pPr>
        <w:shd w:val="clear" w:color="auto" w:fill="FFFFFF"/>
        <w:autoSpaceDE w:val="0"/>
        <w:autoSpaceDN w:val="0"/>
        <w:adjustRightInd w:val="0"/>
        <w:ind w:firstLine="709"/>
        <w:jc w:val="both"/>
        <w:rPr>
          <w:sz w:val="22"/>
          <w:szCs w:val="22"/>
          <w:lang w:val="uk-UA"/>
        </w:rPr>
      </w:pPr>
      <w:r w:rsidRPr="000E05A8">
        <w:rPr>
          <w:sz w:val="22"/>
          <w:szCs w:val="22"/>
          <w:lang w:val="uk-UA"/>
        </w:rPr>
        <w:t>Вплив спалаху COVID-19 (коронавірусу) та вжитих урядом України карантинних та обмежувальних заходів, спрямованих на запобігання його подальшому виникненню і поширенню, включно з надзвичайною ситуацією, може спричинити вплив на подальшу діяльність Товариства, наслідки якого на даний час неможливо оцінити.</w:t>
      </w:r>
    </w:p>
    <w:p w14:paraId="0A29BC7E" w14:textId="77777777" w:rsidR="00752554" w:rsidRPr="000E05A8" w:rsidRDefault="00752554" w:rsidP="000C67AE">
      <w:pPr>
        <w:shd w:val="clear" w:color="auto" w:fill="FFFFFF"/>
        <w:jc w:val="both"/>
        <w:outlineLvl w:val="0"/>
        <w:rPr>
          <w:b/>
          <w:bCs/>
          <w:spacing w:val="-2"/>
          <w:sz w:val="22"/>
          <w:szCs w:val="22"/>
          <w:lang w:val="uk-UA"/>
        </w:rPr>
      </w:pPr>
    </w:p>
    <w:p w14:paraId="7E30E3DE"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 xml:space="preserve">2.4. Рішення про затвердження фінансової звітності </w:t>
      </w:r>
    </w:p>
    <w:p w14:paraId="34A2C165" w14:textId="482BA1EF" w:rsidR="00752554" w:rsidRPr="000E05A8" w:rsidRDefault="00752554" w:rsidP="00794809">
      <w:pPr>
        <w:shd w:val="clear" w:color="auto" w:fill="FFFFFF"/>
        <w:ind w:firstLine="709"/>
        <w:jc w:val="both"/>
        <w:outlineLvl w:val="0"/>
        <w:rPr>
          <w:b/>
          <w:bCs/>
          <w:spacing w:val="-2"/>
          <w:sz w:val="22"/>
          <w:szCs w:val="22"/>
          <w:lang w:val="uk-UA"/>
        </w:rPr>
      </w:pPr>
      <w:r w:rsidRPr="000E05A8">
        <w:rPr>
          <w:sz w:val="22"/>
          <w:szCs w:val="22"/>
          <w:lang w:val="uk-UA"/>
        </w:rPr>
        <w:t>Проміжна фінансова звітність Товариства затверджена до випуску (з метою оприлюднення) керівником Товариства «</w:t>
      </w:r>
      <w:r w:rsidR="00823090" w:rsidRPr="000E05A8">
        <w:rPr>
          <w:sz w:val="22"/>
          <w:szCs w:val="22"/>
          <w:lang w:val="uk-UA"/>
        </w:rPr>
        <w:t>05</w:t>
      </w:r>
      <w:r w:rsidRPr="000E05A8">
        <w:rPr>
          <w:sz w:val="22"/>
          <w:szCs w:val="22"/>
          <w:lang w:val="uk-UA"/>
        </w:rPr>
        <w:t xml:space="preserve">» </w:t>
      </w:r>
      <w:r w:rsidR="00BA6BD5" w:rsidRPr="000E05A8">
        <w:rPr>
          <w:sz w:val="22"/>
          <w:szCs w:val="22"/>
          <w:lang w:val="uk-UA"/>
        </w:rPr>
        <w:t>квітня</w:t>
      </w:r>
      <w:r w:rsidRPr="000E05A8">
        <w:rPr>
          <w:sz w:val="22"/>
          <w:szCs w:val="22"/>
          <w:lang w:val="uk-UA"/>
        </w:rPr>
        <w:t xml:space="preserve"> 20</w:t>
      </w:r>
      <w:r w:rsidR="006B71BA" w:rsidRPr="000E05A8">
        <w:rPr>
          <w:sz w:val="22"/>
          <w:szCs w:val="22"/>
          <w:lang w:val="uk-UA"/>
        </w:rPr>
        <w:t>2</w:t>
      </w:r>
      <w:r w:rsidR="00BA6BD5" w:rsidRPr="000E05A8">
        <w:rPr>
          <w:sz w:val="22"/>
          <w:szCs w:val="22"/>
          <w:lang w:val="uk-UA"/>
        </w:rPr>
        <w:t>1</w:t>
      </w:r>
      <w:r w:rsidRPr="000E05A8">
        <w:rPr>
          <w:sz w:val="22"/>
          <w:szCs w:val="22"/>
          <w:lang w:val="uk-UA"/>
        </w:rPr>
        <w:t xml:space="preserve"> року. Ні учасники Товариства, ні інші особи не мають права вносити зміни до цієї проміжної фінансової звітності після її затвердження до випуску</w:t>
      </w:r>
      <w:r w:rsidRPr="000E05A8">
        <w:rPr>
          <w:b/>
          <w:bCs/>
          <w:spacing w:val="-2"/>
          <w:sz w:val="22"/>
          <w:szCs w:val="22"/>
          <w:lang w:val="uk-UA"/>
        </w:rPr>
        <w:t>.</w:t>
      </w:r>
    </w:p>
    <w:p w14:paraId="62E2225F" w14:textId="77777777" w:rsidR="00752554" w:rsidRPr="000E05A8" w:rsidRDefault="00752554" w:rsidP="00794809">
      <w:pPr>
        <w:shd w:val="clear" w:color="auto" w:fill="FFFFFF"/>
        <w:ind w:firstLine="709"/>
        <w:jc w:val="both"/>
        <w:outlineLvl w:val="0"/>
        <w:rPr>
          <w:b/>
          <w:bCs/>
          <w:spacing w:val="-2"/>
          <w:sz w:val="22"/>
          <w:szCs w:val="22"/>
          <w:lang w:val="uk-UA"/>
        </w:rPr>
      </w:pPr>
    </w:p>
    <w:p w14:paraId="184D78D2"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2.5. Звітний період проміжної фінансової звітності</w:t>
      </w:r>
    </w:p>
    <w:p w14:paraId="6F20CFC0" w14:textId="70CB2CA5"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Звітним періодом, за який формується проміжна фінансова звітність, вважається період з </w:t>
      </w:r>
      <w:r w:rsidR="002628FB" w:rsidRPr="000E05A8">
        <w:rPr>
          <w:sz w:val="22"/>
          <w:szCs w:val="22"/>
          <w:lang w:val="uk-UA"/>
        </w:rPr>
        <w:t>01 січня 2021 року</w:t>
      </w:r>
      <w:r w:rsidRPr="000E05A8">
        <w:rPr>
          <w:sz w:val="22"/>
          <w:szCs w:val="22"/>
          <w:lang w:val="uk-UA"/>
        </w:rPr>
        <w:t xml:space="preserve"> по </w:t>
      </w:r>
      <w:r w:rsidR="00980979" w:rsidRPr="000E05A8">
        <w:rPr>
          <w:sz w:val="22"/>
          <w:szCs w:val="22"/>
          <w:lang w:val="uk-UA"/>
        </w:rPr>
        <w:t>31 березня 2021</w:t>
      </w:r>
      <w:r w:rsidR="00FA7519" w:rsidRPr="000E05A8">
        <w:rPr>
          <w:sz w:val="22"/>
          <w:szCs w:val="22"/>
          <w:lang w:val="uk-UA"/>
        </w:rPr>
        <w:t xml:space="preserve"> року</w:t>
      </w:r>
      <w:r w:rsidRPr="000E05A8">
        <w:rPr>
          <w:sz w:val="22"/>
          <w:szCs w:val="22"/>
          <w:lang w:val="uk-UA"/>
        </w:rPr>
        <w:t>.</w:t>
      </w:r>
    </w:p>
    <w:p w14:paraId="58CEF32F" w14:textId="77777777" w:rsidR="00752554" w:rsidRPr="000E05A8" w:rsidRDefault="00752554" w:rsidP="00794809">
      <w:pPr>
        <w:shd w:val="clear" w:color="auto" w:fill="FFFFFF"/>
        <w:ind w:firstLine="709"/>
        <w:jc w:val="both"/>
        <w:rPr>
          <w:b/>
          <w:bCs/>
          <w:spacing w:val="-2"/>
          <w:sz w:val="22"/>
          <w:szCs w:val="22"/>
          <w:lang w:val="uk-UA"/>
        </w:rPr>
      </w:pPr>
    </w:p>
    <w:p w14:paraId="1654246C"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3. Суттєві положення облікової політики</w:t>
      </w:r>
    </w:p>
    <w:p w14:paraId="35060E9D"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 xml:space="preserve">3.1. Основа (або основи) оцінки, застосована при складанні проміжної фінансової звітності </w:t>
      </w:r>
    </w:p>
    <w:p w14:paraId="446B6C89" w14:textId="77777777" w:rsidR="00752554" w:rsidRPr="000E05A8" w:rsidRDefault="00752554" w:rsidP="00794809">
      <w:pPr>
        <w:shd w:val="clear" w:color="auto" w:fill="FFFFFF"/>
        <w:ind w:firstLine="709"/>
        <w:jc w:val="both"/>
        <w:rPr>
          <w:sz w:val="22"/>
          <w:szCs w:val="22"/>
          <w:lang w:val="uk-UA"/>
        </w:rPr>
      </w:pPr>
      <w:r w:rsidRPr="000E05A8">
        <w:rPr>
          <w:sz w:val="22"/>
          <w:szCs w:val="22"/>
          <w:lang w:val="uk-UA"/>
        </w:rPr>
        <w:t xml:space="preserve">Ця проміжна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9 «Фінансові інструменти». Оцінка справедливої вартості здійснюється з використанням методів оцінки фінансових інструментів, дозволених МСФЗ 13 «Оцінки за справедливою вартістю». Такі методи оцінки </w:t>
      </w:r>
      <w:r w:rsidRPr="000E05A8">
        <w:rPr>
          <w:sz w:val="22"/>
          <w:szCs w:val="22"/>
          <w:lang w:val="uk-UA"/>
        </w:rPr>
        <w:lastRenderedPageBreak/>
        <w:t xml:space="preserve">включають використання справедливої вартості як ціни, яка була б тримана за продаж активу, або сплачена за передачу зобов'язання у звичайній операції між учасниками ринку на дату оцінки. Зокрема, використання біржових котирувань або даних про поточну ринкову вартість іншого аналогічного за характером інструменту, аналіз дисконтованих грошових потоків або інші моделі визначення справедливої 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14:paraId="682F92E4" w14:textId="77777777" w:rsidR="00752554" w:rsidRPr="000E05A8" w:rsidRDefault="00752554" w:rsidP="00794809">
      <w:pPr>
        <w:shd w:val="clear" w:color="auto" w:fill="FFFFFF"/>
        <w:ind w:firstLine="709"/>
        <w:jc w:val="both"/>
        <w:rPr>
          <w:b/>
          <w:bCs/>
          <w:spacing w:val="-2"/>
          <w:sz w:val="22"/>
          <w:szCs w:val="22"/>
          <w:lang w:val="uk-UA"/>
        </w:rPr>
      </w:pPr>
    </w:p>
    <w:p w14:paraId="04232DD7"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3.2. Загальні положення щодо облікових політик</w:t>
      </w:r>
    </w:p>
    <w:p w14:paraId="54A251FE"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3.2.1. Основа формування облікових політик</w:t>
      </w:r>
    </w:p>
    <w:p w14:paraId="723062A6"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Облікові політики - конкретні принципи, основи, домовленості, правила та практика, застосовані суб'єктом господарювання при складанні та поданні проміжної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14:paraId="4545714A" w14:textId="1B554D83"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Облікова політика Товариства затверджена наказом директора № 1-О</w:t>
      </w:r>
      <w:r w:rsidR="001F48AC" w:rsidRPr="000E05A8">
        <w:rPr>
          <w:sz w:val="22"/>
          <w:szCs w:val="22"/>
          <w:lang w:val="uk-UA"/>
        </w:rPr>
        <w:t>П</w:t>
      </w:r>
      <w:r w:rsidRPr="000E05A8">
        <w:rPr>
          <w:sz w:val="22"/>
          <w:szCs w:val="22"/>
          <w:lang w:val="uk-UA"/>
        </w:rPr>
        <w:t xml:space="preserve"> від </w:t>
      </w:r>
      <w:r w:rsidR="006048BC" w:rsidRPr="000E05A8">
        <w:rPr>
          <w:sz w:val="22"/>
          <w:szCs w:val="22"/>
          <w:lang w:val="uk-UA"/>
        </w:rPr>
        <w:t>01.01.2021</w:t>
      </w:r>
      <w:r w:rsidRPr="000E05A8">
        <w:rPr>
          <w:sz w:val="22"/>
          <w:szCs w:val="22"/>
          <w:lang w:val="uk-UA"/>
        </w:rPr>
        <w:t xml:space="preserve"> року і розроблена відповідно до вимог МСБО 8 «Облікові політики, зміни в облікових оцінках та помилки» та інших чинних МСФЗ, зокрема, МСФЗ 9 «Фінансові інструменти», МСФЗ 16 «Оренда»,  </w:t>
      </w:r>
      <w:r w:rsidRPr="000E05A8">
        <w:rPr>
          <w:bCs/>
          <w:sz w:val="22"/>
          <w:szCs w:val="22"/>
          <w:lang w:val="uk-UA"/>
        </w:rPr>
        <w:t>МСФЗ 15</w:t>
      </w:r>
      <w:r w:rsidRPr="000E05A8">
        <w:rPr>
          <w:sz w:val="22"/>
          <w:szCs w:val="22"/>
          <w:lang w:val="uk-UA"/>
        </w:rPr>
        <w:t> "Дохід від договорів з клієнтами".</w:t>
      </w:r>
    </w:p>
    <w:p w14:paraId="3DE61555" w14:textId="3ECD2489" w:rsidR="0021349D" w:rsidRPr="000E05A8" w:rsidRDefault="0021349D" w:rsidP="00794809">
      <w:pPr>
        <w:shd w:val="clear" w:color="auto" w:fill="FFFFFF"/>
        <w:ind w:firstLine="709"/>
        <w:jc w:val="both"/>
        <w:rPr>
          <w:b/>
          <w:bCs/>
          <w:i/>
          <w:spacing w:val="2"/>
          <w:sz w:val="22"/>
          <w:szCs w:val="22"/>
          <w:lang w:val="uk-UA"/>
        </w:rPr>
      </w:pPr>
    </w:p>
    <w:p w14:paraId="34502685"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3.2.2. Інформація про зміни в облікових політиках</w:t>
      </w:r>
    </w:p>
    <w:p w14:paraId="01E291D0"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14:paraId="6C0095B4" w14:textId="014E9F13"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З моменту своєї реєстрації </w:t>
      </w:r>
      <w:r w:rsidR="00FC4480" w:rsidRPr="000E05A8">
        <w:rPr>
          <w:sz w:val="22"/>
          <w:szCs w:val="22"/>
          <w:lang w:val="uk-UA"/>
        </w:rPr>
        <w:t>31</w:t>
      </w:r>
      <w:r w:rsidR="002628FB" w:rsidRPr="000E05A8">
        <w:rPr>
          <w:sz w:val="22"/>
          <w:szCs w:val="22"/>
          <w:lang w:val="uk-UA"/>
        </w:rPr>
        <w:t xml:space="preserve"> </w:t>
      </w:r>
      <w:r w:rsidR="00FC4480" w:rsidRPr="000E05A8">
        <w:rPr>
          <w:sz w:val="22"/>
          <w:szCs w:val="22"/>
          <w:lang w:val="uk-UA"/>
        </w:rPr>
        <w:t>серпня</w:t>
      </w:r>
      <w:r w:rsidR="002628FB" w:rsidRPr="000E05A8">
        <w:rPr>
          <w:sz w:val="22"/>
          <w:szCs w:val="22"/>
          <w:lang w:val="uk-UA"/>
        </w:rPr>
        <w:t xml:space="preserve"> 202</w:t>
      </w:r>
      <w:r w:rsidR="00FC4480" w:rsidRPr="000E05A8">
        <w:rPr>
          <w:sz w:val="22"/>
          <w:szCs w:val="22"/>
          <w:lang w:val="uk-UA"/>
        </w:rPr>
        <w:t>0</w:t>
      </w:r>
      <w:r w:rsidR="002628FB" w:rsidRPr="000E05A8">
        <w:rPr>
          <w:sz w:val="22"/>
          <w:szCs w:val="22"/>
          <w:lang w:val="uk-UA"/>
        </w:rPr>
        <w:t xml:space="preserve"> року </w:t>
      </w:r>
      <w:r w:rsidRPr="000E05A8">
        <w:rPr>
          <w:sz w:val="22"/>
          <w:szCs w:val="22"/>
          <w:lang w:val="uk-UA"/>
        </w:rPr>
        <w:t xml:space="preserve">Товариство застосовує МСФЗ 16 «Оренда». </w:t>
      </w:r>
    </w:p>
    <w:p w14:paraId="0778117C" w14:textId="77777777" w:rsidR="00B8629A" w:rsidRPr="000E05A8" w:rsidRDefault="00B8629A" w:rsidP="00794809">
      <w:pPr>
        <w:shd w:val="clear" w:color="auto" w:fill="FFFFFF"/>
        <w:autoSpaceDE w:val="0"/>
        <w:autoSpaceDN w:val="0"/>
        <w:adjustRightInd w:val="0"/>
        <w:ind w:firstLine="709"/>
        <w:jc w:val="both"/>
        <w:rPr>
          <w:sz w:val="22"/>
          <w:szCs w:val="22"/>
          <w:lang w:val="uk-UA"/>
        </w:rPr>
      </w:pPr>
    </w:p>
    <w:p w14:paraId="6D7BFC9F"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3.2.3. Форма та назви фінансових звітів</w:t>
      </w:r>
    </w:p>
    <w:p w14:paraId="489755A0" w14:textId="2443815D"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14:paraId="4CC692EB" w14:textId="77777777" w:rsidR="00B8629A" w:rsidRPr="000E05A8" w:rsidRDefault="00B8629A" w:rsidP="00794809">
      <w:pPr>
        <w:shd w:val="clear" w:color="auto" w:fill="FFFFFF"/>
        <w:autoSpaceDE w:val="0"/>
        <w:autoSpaceDN w:val="0"/>
        <w:adjustRightInd w:val="0"/>
        <w:ind w:firstLine="709"/>
        <w:jc w:val="both"/>
        <w:rPr>
          <w:sz w:val="22"/>
          <w:szCs w:val="22"/>
          <w:lang w:val="uk-UA"/>
        </w:rPr>
      </w:pPr>
    </w:p>
    <w:p w14:paraId="70BCAA52"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3.2.4. Методи подання інформації у фінансових звітах</w:t>
      </w:r>
    </w:p>
    <w:p w14:paraId="10DF0BC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Згідно МСФЗ та враховуючи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 </w:t>
      </w:r>
    </w:p>
    <w:p w14:paraId="57D3415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14:paraId="5E7E3FA1" w14:textId="77777777" w:rsidR="00752554" w:rsidRPr="000E05A8" w:rsidRDefault="00752554" w:rsidP="00794809">
      <w:pPr>
        <w:shd w:val="clear" w:color="auto" w:fill="FFFFFF"/>
        <w:ind w:firstLine="709"/>
        <w:jc w:val="both"/>
        <w:outlineLvl w:val="0"/>
        <w:rPr>
          <w:b/>
          <w:bCs/>
          <w:spacing w:val="-2"/>
          <w:sz w:val="22"/>
          <w:szCs w:val="22"/>
          <w:lang w:val="uk-UA"/>
        </w:rPr>
      </w:pPr>
    </w:p>
    <w:p w14:paraId="2C5BF6F4"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3.3. Облікові політики щодо фінансових інструментів</w:t>
      </w:r>
    </w:p>
    <w:p w14:paraId="1419CE70"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3.3.1. Визнання та оцінка фінансових інструментів</w:t>
      </w:r>
    </w:p>
    <w:p w14:paraId="3D115396"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14:paraId="5CC08479"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14:paraId="60A6EDC5"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14:paraId="7EFC9A45"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 xml:space="preserve">а) моделі бізнесу суб’єкта господарювання для управління фінансовими активами; та </w:t>
      </w:r>
    </w:p>
    <w:p w14:paraId="3BB74500"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 б) характеристик контрактних грошових потоків фінансового активу.</w:t>
      </w:r>
    </w:p>
    <w:p w14:paraId="00DED54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визнає такі категорії фінансових активів:</w:t>
      </w:r>
    </w:p>
    <w:p w14:paraId="7FA83105" w14:textId="77777777" w:rsidR="00752554" w:rsidRPr="000E05A8" w:rsidRDefault="00752554" w:rsidP="00794809">
      <w:pPr>
        <w:pStyle w:val="a3"/>
        <w:numPr>
          <w:ilvl w:val="1"/>
          <w:numId w:val="1"/>
        </w:numPr>
        <w:shd w:val="clear" w:color="auto" w:fill="FFFFFF"/>
        <w:tabs>
          <w:tab w:val="clear" w:pos="1440"/>
          <w:tab w:val="num" w:pos="900"/>
        </w:tabs>
        <w:autoSpaceDE w:val="0"/>
        <w:autoSpaceDN w:val="0"/>
        <w:adjustRightInd w:val="0"/>
        <w:ind w:left="0" w:firstLine="709"/>
        <w:jc w:val="both"/>
        <w:rPr>
          <w:sz w:val="22"/>
          <w:szCs w:val="22"/>
          <w:lang w:val="uk-UA"/>
        </w:rPr>
      </w:pPr>
      <w:r w:rsidRPr="000E05A8">
        <w:rPr>
          <w:sz w:val="22"/>
          <w:szCs w:val="22"/>
          <w:lang w:val="uk-UA"/>
        </w:rPr>
        <w:t>фінансові активи, що оцінюються за справедливою вартістю, з відображенням результату переоцінки у прибутку або збитку;</w:t>
      </w:r>
    </w:p>
    <w:p w14:paraId="726D8A2B" w14:textId="77777777" w:rsidR="00752554" w:rsidRPr="000E05A8" w:rsidRDefault="00752554" w:rsidP="00794809">
      <w:pPr>
        <w:pStyle w:val="a3"/>
        <w:numPr>
          <w:ilvl w:val="1"/>
          <w:numId w:val="1"/>
        </w:numPr>
        <w:shd w:val="clear" w:color="auto" w:fill="FFFFFF"/>
        <w:tabs>
          <w:tab w:val="clear" w:pos="1440"/>
          <w:tab w:val="num" w:pos="900"/>
        </w:tabs>
        <w:autoSpaceDE w:val="0"/>
        <w:autoSpaceDN w:val="0"/>
        <w:adjustRightInd w:val="0"/>
        <w:ind w:left="0" w:firstLine="709"/>
        <w:jc w:val="both"/>
        <w:rPr>
          <w:sz w:val="22"/>
          <w:szCs w:val="22"/>
          <w:lang w:val="uk-UA"/>
        </w:rPr>
      </w:pPr>
      <w:r w:rsidRPr="000E05A8">
        <w:rPr>
          <w:sz w:val="22"/>
          <w:szCs w:val="22"/>
          <w:lang w:val="uk-UA"/>
        </w:rPr>
        <w:lastRenderedPageBreak/>
        <w:t>фінансові активи, що оцінюються за амортизованою собівартістю.</w:t>
      </w:r>
    </w:p>
    <w:p w14:paraId="6F5A9B0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визнає такі категорії фінансових зобов'язань:</w:t>
      </w:r>
    </w:p>
    <w:p w14:paraId="01F9CAFD" w14:textId="77777777" w:rsidR="00752554" w:rsidRPr="000E05A8" w:rsidRDefault="00752554" w:rsidP="00794809">
      <w:pPr>
        <w:pStyle w:val="a3"/>
        <w:numPr>
          <w:ilvl w:val="1"/>
          <w:numId w:val="1"/>
        </w:numPr>
        <w:shd w:val="clear" w:color="auto" w:fill="FFFFFF"/>
        <w:tabs>
          <w:tab w:val="clear" w:pos="1440"/>
          <w:tab w:val="num" w:pos="900"/>
        </w:tabs>
        <w:autoSpaceDE w:val="0"/>
        <w:autoSpaceDN w:val="0"/>
        <w:adjustRightInd w:val="0"/>
        <w:ind w:left="0" w:firstLine="709"/>
        <w:jc w:val="both"/>
        <w:rPr>
          <w:sz w:val="22"/>
          <w:szCs w:val="22"/>
          <w:lang w:val="uk-UA"/>
        </w:rPr>
      </w:pPr>
      <w:r w:rsidRPr="000E05A8">
        <w:rPr>
          <w:sz w:val="22"/>
          <w:szCs w:val="22"/>
          <w:lang w:val="uk-UA"/>
        </w:rPr>
        <w:t>фінансові зобов'язання, оцінені за амортизованою собівартістю;</w:t>
      </w:r>
    </w:p>
    <w:p w14:paraId="66ECF9FD" w14:textId="77777777" w:rsidR="00752554" w:rsidRPr="000E05A8" w:rsidRDefault="00752554" w:rsidP="00794809">
      <w:pPr>
        <w:pStyle w:val="a3"/>
        <w:numPr>
          <w:ilvl w:val="1"/>
          <w:numId w:val="1"/>
        </w:numPr>
        <w:shd w:val="clear" w:color="auto" w:fill="FFFFFF"/>
        <w:tabs>
          <w:tab w:val="clear" w:pos="1440"/>
          <w:tab w:val="num" w:pos="900"/>
        </w:tabs>
        <w:autoSpaceDE w:val="0"/>
        <w:autoSpaceDN w:val="0"/>
        <w:adjustRightInd w:val="0"/>
        <w:ind w:left="0" w:firstLine="709"/>
        <w:jc w:val="both"/>
        <w:rPr>
          <w:sz w:val="22"/>
          <w:szCs w:val="22"/>
          <w:lang w:val="uk-UA"/>
        </w:rPr>
      </w:pPr>
      <w:r w:rsidRPr="000E05A8">
        <w:rPr>
          <w:sz w:val="22"/>
          <w:szCs w:val="22"/>
          <w:lang w:val="uk-UA"/>
        </w:rPr>
        <w:t>фінансові зобов'язання, оцінені за справедливою вартістю, з відображенням результату переоцінки у прибутку або збитку.</w:t>
      </w:r>
    </w:p>
    <w:p w14:paraId="2C3F53F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Під час первісного визнання фінансового активу або фінансового зобов'язання Товариство оцінює їх за їхньою справедливою вартістю .</w:t>
      </w:r>
    </w:p>
    <w:p w14:paraId="1484777C"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 xml:space="preserve">При припиненні визнання фінансового активу повністю різниця між: </w:t>
      </w:r>
    </w:p>
    <w:p w14:paraId="38E87A3B"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 xml:space="preserve">а) балансовою вартістю (оціненою на дату припинення визнання) та </w:t>
      </w:r>
    </w:p>
    <w:p w14:paraId="49A60D63"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б) отриманою компенсацією (включаючи будь-який новий отриманий актив мінус будь-яке нове взяте зобов’язання) визнають у прибутку або збитку.</w:t>
      </w:r>
    </w:p>
    <w:p w14:paraId="025C74A6" w14:textId="77777777" w:rsidR="00752554" w:rsidRPr="000E05A8" w:rsidRDefault="00752554" w:rsidP="00794809">
      <w:pPr>
        <w:pStyle w:val="a6"/>
        <w:ind w:firstLine="709"/>
        <w:jc w:val="both"/>
        <w:rPr>
          <w:rFonts w:ascii="Times New Roman" w:hAnsi="Times New Roman" w:cs="Times New Roman"/>
          <w:sz w:val="22"/>
          <w:szCs w:val="22"/>
          <w:lang w:val="uk-UA"/>
        </w:rPr>
      </w:pPr>
      <w:r w:rsidRPr="000E05A8">
        <w:rPr>
          <w:rFonts w:ascii="Times New Roman" w:hAnsi="Times New Roman" w:cs="Times New Roman"/>
          <w:sz w:val="22"/>
          <w:szCs w:val="22"/>
          <w:lang w:val="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14:paraId="2FF3A413" w14:textId="77777777" w:rsidR="00752554" w:rsidRPr="000E05A8" w:rsidRDefault="00752554" w:rsidP="00794809">
      <w:pPr>
        <w:pStyle w:val="a6"/>
        <w:ind w:firstLine="709"/>
        <w:jc w:val="both"/>
        <w:rPr>
          <w:rFonts w:ascii="Times New Roman" w:hAnsi="Times New Roman" w:cs="Times New Roman"/>
          <w:sz w:val="22"/>
          <w:szCs w:val="22"/>
          <w:lang w:val="uk-UA"/>
        </w:rPr>
      </w:pPr>
      <w:r w:rsidRPr="000E05A8">
        <w:rPr>
          <w:rFonts w:ascii="Times New Roman" w:hAnsi="Times New Roman" w:cs="Times New Roman"/>
          <w:sz w:val="22"/>
          <w:szCs w:val="22"/>
          <w:lang w:val="uk-UA"/>
        </w:rPr>
        <w:t>Товариство визнає резерв під збитки для очікуваних кредитних збитків за фінансовим активом, який обліковується за амортизованою вартістю.</w:t>
      </w:r>
    </w:p>
    <w:p w14:paraId="30EA475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Облікова політика щодо подальшої оцінки фінансових інструментів розкривається нижче у відповідних розділах облікової політики.</w:t>
      </w:r>
    </w:p>
    <w:p w14:paraId="26BFCEAA" w14:textId="6F9EC254" w:rsidR="00752554" w:rsidRPr="000E05A8" w:rsidRDefault="00752554" w:rsidP="00794809">
      <w:pPr>
        <w:shd w:val="clear" w:color="auto" w:fill="FFFFFF"/>
        <w:ind w:firstLine="709"/>
        <w:jc w:val="both"/>
        <w:outlineLvl w:val="0"/>
        <w:rPr>
          <w:b/>
          <w:bCs/>
          <w:i/>
          <w:spacing w:val="2"/>
          <w:sz w:val="22"/>
          <w:szCs w:val="22"/>
          <w:lang w:val="uk-UA"/>
        </w:rPr>
      </w:pPr>
    </w:p>
    <w:p w14:paraId="2768257A"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3.3.2. Грошові кошти та їхні еквіваленти</w:t>
      </w:r>
    </w:p>
    <w:p w14:paraId="61728B5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Грошові кошти складаються з коштів на поточних рахунках у банках.</w:t>
      </w:r>
    </w:p>
    <w:p w14:paraId="02596B0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3B6B5870"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Грошові кошти та їх еквіваленти можуть утримуватися, а операції з ними проводитися в національній валюті та в іноземній валюті.</w:t>
      </w:r>
    </w:p>
    <w:p w14:paraId="202C8E51"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Іноземна валюта – це валюта інша, ніж функціональна валюта, яка визначена в п.2.</w:t>
      </w:r>
      <w:r w:rsidR="00AD21CE" w:rsidRPr="000E05A8">
        <w:rPr>
          <w:sz w:val="22"/>
          <w:szCs w:val="22"/>
          <w:lang w:val="uk-UA"/>
        </w:rPr>
        <w:t>2</w:t>
      </w:r>
      <w:r w:rsidRPr="000E05A8">
        <w:rPr>
          <w:sz w:val="22"/>
          <w:szCs w:val="22"/>
          <w:lang w:val="uk-UA"/>
        </w:rPr>
        <w:t xml:space="preserve"> цих Приміток.</w:t>
      </w:r>
    </w:p>
    <w:p w14:paraId="685C8AC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Грошові кошти та їх еквіваленти визнаються за умови відповідності критеріям визнання активами.</w:t>
      </w:r>
    </w:p>
    <w:p w14:paraId="414597F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Подальша оцінка грошових коштів здійснюється за справедливою вартістю, яка дорівнює їх номінальній вартості.</w:t>
      </w:r>
    </w:p>
    <w:p w14:paraId="25E4A39F"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Подальша оцінка еквівалентів грошових коштів, представлених депозитами, здійснюється за амортизованою собівартістю.</w:t>
      </w:r>
    </w:p>
    <w:p w14:paraId="4F65D504" w14:textId="0BD16878"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 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10A9D485" w14:textId="77777777" w:rsidR="00752554" w:rsidRPr="000E05A8" w:rsidRDefault="00752554" w:rsidP="00794809">
      <w:pPr>
        <w:shd w:val="clear" w:color="auto" w:fill="FFFFFF"/>
        <w:ind w:firstLine="709"/>
        <w:jc w:val="both"/>
        <w:outlineLvl w:val="0"/>
        <w:rPr>
          <w:b/>
          <w:bCs/>
          <w:i/>
          <w:spacing w:val="2"/>
          <w:sz w:val="22"/>
          <w:szCs w:val="22"/>
          <w:lang w:val="uk-UA"/>
        </w:rPr>
      </w:pPr>
    </w:p>
    <w:p w14:paraId="5E4AB287"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3.3.3. Фінансові активи, що оцінюються за амортизованою собівартістю</w:t>
      </w:r>
    </w:p>
    <w:p w14:paraId="72AFD86E" w14:textId="790D32E5"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До фінансових активів, що оцінюються за амортизованою собівартістю, Товариство відносить </w:t>
      </w:r>
      <w:r w:rsidRPr="000E05A8">
        <w:rPr>
          <w:b/>
          <w:i/>
          <w:sz w:val="22"/>
          <w:szCs w:val="22"/>
          <w:lang w:val="uk-UA"/>
        </w:rPr>
        <w:t xml:space="preserve"> облігації</w:t>
      </w:r>
      <w:r w:rsidR="00E64440" w:rsidRPr="000E05A8">
        <w:rPr>
          <w:b/>
          <w:i/>
          <w:sz w:val="22"/>
          <w:szCs w:val="22"/>
          <w:lang w:val="uk-UA"/>
        </w:rPr>
        <w:t>,</w:t>
      </w:r>
      <w:r w:rsidRPr="000E05A8">
        <w:rPr>
          <w:b/>
          <w:i/>
          <w:sz w:val="22"/>
          <w:szCs w:val="22"/>
          <w:lang w:val="uk-UA"/>
        </w:rPr>
        <w:t xml:space="preserve"> дебіторську заборгованість</w:t>
      </w:r>
      <w:r w:rsidR="00AD21CE" w:rsidRPr="000E05A8">
        <w:rPr>
          <w:b/>
          <w:i/>
          <w:sz w:val="22"/>
          <w:szCs w:val="22"/>
          <w:lang w:val="uk-UA"/>
        </w:rPr>
        <w:t>, депозити</w:t>
      </w:r>
      <w:r w:rsidRPr="000E05A8">
        <w:rPr>
          <w:b/>
          <w:i/>
          <w:sz w:val="22"/>
          <w:szCs w:val="22"/>
          <w:lang w:val="uk-UA"/>
        </w:rPr>
        <w:t>.</w:t>
      </w:r>
    </w:p>
    <w:p w14:paraId="5F0EE9A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Після первісного визнання Товариство оцінює їх за амортизованою собівартістю, застосовуючи метод ефективного відсотка.</w:t>
      </w:r>
    </w:p>
    <w:p w14:paraId="5A27531C"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14:paraId="31AC3B0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оцінює станом на кожну звітну дату резерв під збитки за фінансовим інструментом у розмірі, що дорівнює:</w:t>
      </w:r>
    </w:p>
    <w:p w14:paraId="37615DE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14:paraId="2D5D138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14:paraId="66C3185A" w14:textId="77777777" w:rsidR="00752554" w:rsidRPr="000E05A8" w:rsidRDefault="00752554" w:rsidP="00794809">
      <w:pPr>
        <w:pStyle w:val="Default"/>
        <w:ind w:firstLine="709"/>
        <w:jc w:val="both"/>
        <w:rPr>
          <w:color w:val="auto"/>
          <w:sz w:val="22"/>
          <w:szCs w:val="22"/>
        </w:rPr>
      </w:pPr>
      <w:r w:rsidRPr="000E05A8">
        <w:rPr>
          <w:color w:val="auto"/>
          <w:sz w:val="22"/>
          <w:szCs w:val="22"/>
        </w:rPr>
        <w:lastRenderedPageBreak/>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14:paraId="658A2DA1"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14:paraId="010559C6"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Pr="000E05A8">
        <w:rPr>
          <w:b/>
          <w:sz w:val="22"/>
          <w:szCs w:val="22"/>
          <w:lang w:val="uk-UA"/>
        </w:rPr>
        <w:t>має низький рівень кредитного ризику станом на звітну дату</w:t>
      </w:r>
      <w:r w:rsidRPr="000E05A8">
        <w:rPr>
          <w:sz w:val="22"/>
          <w:szCs w:val="22"/>
          <w:lang w:val="uk-UA"/>
        </w:rPr>
        <w:t>.</w:t>
      </w:r>
    </w:p>
    <w:p w14:paraId="4551C411" w14:textId="1C9F609E"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14:paraId="6CDB906C"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Дебіторська заборгованість</w:t>
      </w:r>
    </w:p>
    <w:p w14:paraId="3E40792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 </w:t>
      </w:r>
    </w:p>
    <w:p w14:paraId="4A74484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Первісна оцінка дебіторської заборгованості здійснюється за справедливою вартістю.</w:t>
      </w:r>
    </w:p>
    <w:p w14:paraId="6A066CD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Після первісного визнання подальша оцінка дебіторської заборгованості відбувається за амортизованою вартістю. </w:t>
      </w:r>
    </w:p>
    <w:p w14:paraId="138B51A6" w14:textId="77777777" w:rsidR="00752554" w:rsidRPr="000E05A8" w:rsidRDefault="00752554" w:rsidP="00794809">
      <w:pPr>
        <w:autoSpaceDE w:val="0"/>
        <w:autoSpaceDN w:val="0"/>
        <w:adjustRightInd w:val="0"/>
        <w:ind w:firstLine="709"/>
        <w:jc w:val="both"/>
        <w:rPr>
          <w:sz w:val="22"/>
          <w:szCs w:val="22"/>
          <w:lang w:val="uk-UA"/>
        </w:rPr>
      </w:pPr>
      <w:r w:rsidRPr="000E05A8">
        <w:rPr>
          <w:sz w:val="22"/>
          <w:szCs w:val="22"/>
          <w:lang w:val="uk-UA"/>
        </w:rPr>
        <w:t>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62C80E57" w14:textId="77777777" w:rsidR="00752554" w:rsidRPr="000E05A8" w:rsidRDefault="00752554" w:rsidP="00794809">
      <w:pPr>
        <w:shd w:val="clear" w:color="auto" w:fill="FFFFFF"/>
        <w:autoSpaceDE w:val="0"/>
        <w:autoSpaceDN w:val="0"/>
        <w:adjustRightInd w:val="0"/>
        <w:ind w:firstLine="709"/>
        <w:jc w:val="both"/>
        <w:rPr>
          <w:sz w:val="22"/>
          <w:szCs w:val="22"/>
          <w:lang w:val="uk-UA"/>
        </w:rPr>
      </w:pPr>
    </w:p>
    <w:p w14:paraId="2FDB12EC"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3.3.4. Фінансові активи, що оцінюються за справедливою вартістю, з відображенням результату переоцінки у прибутку або збитку</w:t>
      </w:r>
    </w:p>
    <w:p w14:paraId="0271B01F"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Бізнес-модель, що обумовлює оцінку за справедливою вартістю через прибуток або збиток, є та, в якій Товариство управляє фінансовими активами з метою реалізації грошових потоків через продаж активів. Товариство ухвалює рішення на основі справедливої вартості активів та здійснює управління ними з метою реалізації цієї справедливої вартості. У цьому випадку досягнення мети Товариства зазвичай буде пов'язане з активним здійсненням операцій купівлі-продажу. </w:t>
      </w:r>
    </w:p>
    <w:p w14:paraId="5E7E3435" w14:textId="18A3A189" w:rsidR="00752554" w:rsidRPr="000E05A8" w:rsidRDefault="00752554" w:rsidP="00794809">
      <w:pPr>
        <w:shd w:val="clear" w:color="auto" w:fill="FFFFFF"/>
        <w:autoSpaceDE w:val="0"/>
        <w:autoSpaceDN w:val="0"/>
        <w:adjustRightInd w:val="0"/>
        <w:ind w:firstLine="709"/>
        <w:jc w:val="both"/>
        <w:rPr>
          <w:noProof/>
          <w:color w:val="FF0000"/>
          <w:sz w:val="22"/>
          <w:szCs w:val="22"/>
          <w:lang w:val="uk-UA"/>
        </w:rPr>
      </w:pPr>
      <w:r w:rsidRPr="000E05A8">
        <w:rPr>
          <w:sz w:val="22"/>
          <w:szCs w:val="22"/>
          <w:lang w:val="uk-UA"/>
        </w:rPr>
        <w:t>До фінансових активів, що оцінюються за справедливою вартістю, з відображенням результату переоцінки у прибутку або збитку, відносяться облігації внутрішньої</w:t>
      </w:r>
      <w:r w:rsidR="00275B49" w:rsidRPr="000E05A8">
        <w:rPr>
          <w:sz w:val="22"/>
          <w:szCs w:val="22"/>
          <w:lang w:val="uk-UA"/>
        </w:rPr>
        <w:t>/зовнішньої</w:t>
      </w:r>
      <w:r w:rsidRPr="000E05A8">
        <w:rPr>
          <w:sz w:val="22"/>
          <w:szCs w:val="22"/>
          <w:lang w:val="uk-UA"/>
        </w:rPr>
        <w:t xml:space="preserve"> державної позики. Станом на </w:t>
      </w:r>
      <w:r w:rsidR="00980979" w:rsidRPr="000E05A8">
        <w:rPr>
          <w:sz w:val="22"/>
          <w:szCs w:val="22"/>
          <w:lang w:val="uk-UA"/>
        </w:rPr>
        <w:t>31.03.2021</w:t>
      </w:r>
      <w:r w:rsidRPr="000E05A8">
        <w:rPr>
          <w:sz w:val="22"/>
          <w:szCs w:val="22"/>
          <w:lang w:val="uk-UA"/>
        </w:rPr>
        <w:t xml:space="preserve"> року Товариство мало придбані </w:t>
      </w:r>
      <w:r w:rsidR="00137673" w:rsidRPr="000E05A8">
        <w:rPr>
          <w:sz w:val="22"/>
          <w:szCs w:val="22"/>
          <w:lang w:val="uk-UA"/>
        </w:rPr>
        <w:t>ОЗДП</w:t>
      </w:r>
      <w:r w:rsidRPr="000E05A8">
        <w:rPr>
          <w:sz w:val="22"/>
          <w:szCs w:val="22"/>
          <w:lang w:val="uk-UA"/>
        </w:rPr>
        <w:t xml:space="preserve">. </w:t>
      </w:r>
      <w:r w:rsidRPr="000E05A8">
        <w:rPr>
          <w:noProof/>
          <w:sz w:val="22"/>
          <w:szCs w:val="22"/>
          <w:lang w:val="uk-UA"/>
        </w:rPr>
        <w:t>Цi фiнансовi активи вiдображаються за справедливою вартiстю. Результати переоцiнки визнаються як прибутки або збитки Товариства.</w:t>
      </w:r>
      <w:r w:rsidR="002F3B3A" w:rsidRPr="000E05A8">
        <w:rPr>
          <w:noProof/>
          <w:sz w:val="22"/>
          <w:szCs w:val="22"/>
          <w:lang w:val="uk-UA"/>
        </w:rPr>
        <w:t xml:space="preserve"> </w:t>
      </w:r>
    </w:p>
    <w:p w14:paraId="2AA5AFC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p>
    <w:p w14:paraId="3154F33B"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14:paraId="2303F00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Справедлива вартість є ціною, яка була б отримана при продажу активу або виплачена за передачу зобов'язання в рамках угоди, що укладається в звичайному порядку між учасниками ринку на дату оцінки. </w:t>
      </w:r>
    </w:p>
    <w:p w14:paraId="691C3553" w14:textId="77777777" w:rsidR="00752554" w:rsidRPr="000E05A8" w:rsidRDefault="00752554" w:rsidP="00AD21CE">
      <w:pPr>
        <w:shd w:val="clear" w:color="auto" w:fill="FFFFFF"/>
        <w:autoSpaceDE w:val="0"/>
        <w:autoSpaceDN w:val="0"/>
        <w:adjustRightInd w:val="0"/>
        <w:ind w:firstLine="709"/>
        <w:jc w:val="both"/>
        <w:rPr>
          <w:b/>
          <w:bCs/>
          <w:i/>
          <w:spacing w:val="2"/>
          <w:sz w:val="22"/>
          <w:szCs w:val="22"/>
          <w:lang w:val="uk-UA"/>
        </w:rPr>
      </w:pPr>
      <w:r w:rsidRPr="000E05A8">
        <w:rPr>
          <w:sz w:val="22"/>
          <w:szCs w:val="22"/>
          <w:lang w:val="uk-UA"/>
        </w:rPr>
        <w:t> </w:t>
      </w:r>
    </w:p>
    <w:p w14:paraId="7A36A9DC"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 xml:space="preserve">3.3.5. Зобов'язання. </w:t>
      </w:r>
    </w:p>
    <w:p w14:paraId="1E1F4EAA"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lastRenderedPageBreak/>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32199F68"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Поточні зобов’язання – це зобов’язання, які відповідають одній або декільком із нижченаведених ознак:</w:t>
      </w:r>
    </w:p>
    <w:p w14:paraId="1C0535D8"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0EEF69E0"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11BD780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Поточні зобов’язання визнаються за умови відповідності визначенню і критеріям визнання зобов’язань. </w:t>
      </w:r>
    </w:p>
    <w:p w14:paraId="2CB1E96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Поточні зобов’язання оцінюються у подальшому за амортизованою вартістю. </w:t>
      </w:r>
    </w:p>
    <w:p w14:paraId="4054C860"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0F97D32F" w14:textId="77777777" w:rsidR="00752554" w:rsidRPr="000E05A8" w:rsidRDefault="00752554" w:rsidP="00794809">
      <w:pPr>
        <w:shd w:val="clear" w:color="auto" w:fill="FFFFFF"/>
        <w:ind w:firstLine="709"/>
        <w:jc w:val="both"/>
        <w:outlineLvl w:val="0"/>
        <w:rPr>
          <w:b/>
          <w:bCs/>
          <w:i/>
          <w:spacing w:val="2"/>
          <w:sz w:val="22"/>
          <w:szCs w:val="22"/>
          <w:lang w:val="uk-UA"/>
        </w:rPr>
      </w:pPr>
    </w:p>
    <w:p w14:paraId="4E8D706A"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3.3.6. Згортання фінансових активів та зобов'язань</w:t>
      </w:r>
    </w:p>
    <w:p w14:paraId="231E712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61E75BBA" w14:textId="728B4EAA" w:rsidR="00752554" w:rsidRPr="000E05A8" w:rsidRDefault="00752554" w:rsidP="00794809">
      <w:pPr>
        <w:shd w:val="clear" w:color="auto" w:fill="FFFFFF"/>
        <w:ind w:firstLine="709"/>
        <w:jc w:val="both"/>
        <w:outlineLvl w:val="0"/>
        <w:rPr>
          <w:b/>
          <w:bCs/>
          <w:spacing w:val="-2"/>
          <w:sz w:val="22"/>
          <w:szCs w:val="22"/>
          <w:lang w:val="uk-UA"/>
        </w:rPr>
      </w:pPr>
    </w:p>
    <w:p w14:paraId="16D9EE51"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3.4. Облікові політики щодо основних засобів</w:t>
      </w:r>
    </w:p>
    <w:p w14:paraId="0F26596A"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3.4.1. Визнання та оцінка основних засобів</w:t>
      </w:r>
    </w:p>
    <w:p w14:paraId="4D40F6D2" w14:textId="5DA1C420"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w:t>
      </w:r>
      <w:r w:rsidR="009B335A" w:rsidRPr="000E05A8">
        <w:rPr>
          <w:sz w:val="22"/>
          <w:szCs w:val="22"/>
          <w:lang w:val="uk-UA"/>
        </w:rPr>
        <w:t>20 000,00</w:t>
      </w:r>
      <w:r w:rsidRPr="000E05A8">
        <w:rPr>
          <w:sz w:val="22"/>
          <w:szCs w:val="22"/>
          <w:lang w:val="uk-UA"/>
        </w:rPr>
        <w:t xml:space="preserve"> грн.</w:t>
      </w:r>
    </w:p>
    <w:p w14:paraId="5049C2C9"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8C27375" w14:textId="77777777" w:rsidR="00752554" w:rsidRPr="000E05A8" w:rsidRDefault="00752554" w:rsidP="00794809">
      <w:pPr>
        <w:shd w:val="clear" w:color="auto" w:fill="FFFFFF"/>
        <w:ind w:firstLine="709"/>
        <w:jc w:val="both"/>
        <w:outlineLvl w:val="0"/>
        <w:rPr>
          <w:b/>
          <w:bCs/>
          <w:i/>
          <w:spacing w:val="2"/>
          <w:sz w:val="22"/>
          <w:szCs w:val="22"/>
          <w:lang w:val="uk-UA"/>
        </w:rPr>
      </w:pPr>
    </w:p>
    <w:p w14:paraId="16D43290"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3.4.2. Подальші витрати.</w:t>
      </w:r>
    </w:p>
    <w:p w14:paraId="65A476BB"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14:paraId="716BDB84" w14:textId="77777777" w:rsidR="00752554" w:rsidRPr="000E05A8" w:rsidRDefault="00752554" w:rsidP="00794809">
      <w:pPr>
        <w:shd w:val="clear" w:color="auto" w:fill="FFFFFF"/>
        <w:ind w:firstLine="709"/>
        <w:jc w:val="both"/>
        <w:outlineLvl w:val="0"/>
        <w:rPr>
          <w:b/>
          <w:bCs/>
          <w:i/>
          <w:spacing w:val="2"/>
          <w:sz w:val="22"/>
          <w:szCs w:val="22"/>
          <w:lang w:val="uk-UA"/>
        </w:rPr>
      </w:pPr>
    </w:p>
    <w:p w14:paraId="51D15342"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3.4.3. Амортизація основних засобів.</w:t>
      </w:r>
    </w:p>
    <w:p w14:paraId="6673F200"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Амортизація основних засобів Товариства нараховується прямолінійним методом з використанням таких щорічних норм:</w:t>
      </w:r>
    </w:p>
    <w:p w14:paraId="0917E0D7" w14:textId="0157B326" w:rsidR="00752554" w:rsidRPr="000E05A8" w:rsidRDefault="00752554" w:rsidP="00794809">
      <w:pPr>
        <w:shd w:val="clear" w:color="auto" w:fill="FFFFFF"/>
        <w:tabs>
          <w:tab w:val="left" w:pos="6000"/>
        </w:tabs>
        <w:ind w:firstLine="709"/>
        <w:jc w:val="both"/>
        <w:rPr>
          <w:sz w:val="22"/>
          <w:szCs w:val="22"/>
          <w:lang w:val="uk-UA"/>
        </w:rPr>
      </w:pPr>
      <w:r w:rsidRPr="000E05A8">
        <w:rPr>
          <w:spacing w:val="-3"/>
          <w:sz w:val="22"/>
          <w:szCs w:val="22"/>
          <w:lang w:val="uk-UA"/>
        </w:rPr>
        <w:t>машини та обладнання</w:t>
      </w:r>
      <w:r w:rsidRPr="000E05A8">
        <w:rPr>
          <w:sz w:val="22"/>
          <w:szCs w:val="22"/>
          <w:lang w:val="uk-UA"/>
        </w:rPr>
        <w:tab/>
      </w:r>
      <w:r w:rsidRPr="000E05A8">
        <w:rPr>
          <w:spacing w:val="-2"/>
          <w:sz w:val="22"/>
          <w:szCs w:val="22"/>
          <w:lang w:val="uk-UA"/>
        </w:rPr>
        <w:t xml:space="preserve">- </w:t>
      </w:r>
      <w:r w:rsidR="00D40EB8" w:rsidRPr="000E05A8">
        <w:rPr>
          <w:spacing w:val="-2"/>
          <w:sz w:val="22"/>
          <w:szCs w:val="22"/>
          <w:lang w:val="uk-UA"/>
        </w:rPr>
        <w:t>20</w:t>
      </w:r>
      <w:r w:rsidRPr="000E05A8">
        <w:rPr>
          <w:spacing w:val="-2"/>
          <w:sz w:val="22"/>
          <w:szCs w:val="22"/>
          <w:lang w:val="uk-UA"/>
        </w:rPr>
        <w:t>%</w:t>
      </w:r>
    </w:p>
    <w:p w14:paraId="74194EBA" w14:textId="1C8073C7" w:rsidR="00752554" w:rsidRPr="000E05A8" w:rsidRDefault="00752554" w:rsidP="00794809">
      <w:pPr>
        <w:shd w:val="clear" w:color="auto" w:fill="FFFFFF"/>
        <w:tabs>
          <w:tab w:val="left" w:pos="6019"/>
        </w:tabs>
        <w:ind w:firstLine="709"/>
        <w:jc w:val="both"/>
        <w:rPr>
          <w:sz w:val="22"/>
          <w:szCs w:val="22"/>
          <w:lang w:val="uk-UA"/>
        </w:rPr>
      </w:pPr>
      <w:r w:rsidRPr="000E05A8">
        <w:rPr>
          <w:spacing w:val="-6"/>
          <w:sz w:val="22"/>
          <w:szCs w:val="22"/>
          <w:lang w:val="uk-UA"/>
        </w:rPr>
        <w:t>меблі</w:t>
      </w:r>
      <w:r w:rsidRPr="000E05A8">
        <w:rPr>
          <w:sz w:val="22"/>
          <w:szCs w:val="22"/>
          <w:lang w:val="uk-UA"/>
        </w:rPr>
        <w:tab/>
      </w:r>
      <w:r w:rsidRPr="000E05A8">
        <w:rPr>
          <w:spacing w:val="-2"/>
          <w:sz w:val="22"/>
          <w:szCs w:val="22"/>
          <w:lang w:val="uk-UA"/>
        </w:rPr>
        <w:t>- 20 %.</w:t>
      </w:r>
    </w:p>
    <w:p w14:paraId="09EE1F5F" w14:textId="77777777" w:rsidR="00752554" w:rsidRPr="000E05A8" w:rsidRDefault="00752554" w:rsidP="00794809">
      <w:pPr>
        <w:shd w:val="clear" w:color="auto" w:fill="FFFFFF"/>
        <w:tabs>
          <w:tab w:val="left" w:pos="6019"/>
        </w:tabs>
        <w:ind w:firstLine="709"/>
        <w:jc w:val="both"/>
        <w:rPr>
          <w:spacing w:val="-2"/>
          <w:sz w:val="22"/>
          <w:szCs w:val="22"/>
          <w:lang w:val="uk-UA"/>
        </w:rPr>
      </w:pPr>
      <w:r w:rsidRPr="000E05A8">
        <w:rPr>
          <w:spacing w:val="-6"/>
          <w:sz w:val="22"/>
          <w:szCs w:val="22"/>
          <w:lang w:val="uk-UA"/>
        </w:rPr>
        <w:t>інші</w:t>
      </w:r>
      <w:r w:rsidRPr="000E05A8">
        <w:rPr>
          <w:sz w:val="22"/>
          <w:szCs w:val="22"/>
          <w:lang w:val="uk-UA"/>
        </w:rPr>
        <w:tab/>
      </w:r>
      <w:r w:rsidRPr="000E05A8">
        <w:rPr>
          <w:spacing w:val="-2"/>
          <w:sz w:val="22"/>
          <w:szCs w:val="22"/>
          <w:lang w:val="uk-UA"/>
        </w:rPr>
        <w:t>- 14 - 50%</w:t>
      </w:r>
    </w:p>
    <w:p w14:paraId="0F364546"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14:paraId="300C4607" w14:textId="77777777" w:rsidR="00752554" w:rsidRPr="000E05A8" w:rsidRDefault="00752554" w:rsidP="00794809">
      <w:pPr>
        <w:shd w:val="clear" w:color="auto" w:fill="FFFFFF"/>
        <w:ind w:firstLine="709"/>
        <w:jc w:val="both"/>
        <w:outlineLvl w:val="0"/>
        <w:rPr>
          <w:b/>
          <w:bCs/>
          <w:i/>
          <w:spacing w:val="2"/>
          <w:sz w:val="22"/>
          <w:szCs w:val="22"/>
          <w:lang w:val="uk-UA"/>
        </w:rPr>
      </w:pPr>
    </w:p>
    <w:p w14:paraId="61E74BD7"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 xml:space="preserve">3.4.4. Зменшення корисності основних засобів </w:t>
      </w:r>
    </w:p>
    <w:p w14:paraId="0155540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сторнує,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w:t>
      </w:r>
      <w:r w:rsidRPr="000E05A8">
        <w:rPr>
          <w:sz w:val="22"/>
          <w:szCs w:val="22"/>
          <w:lang w:val="uk-UA"/>
        </w:rPr>
        <w:lastRenderedPageBreak/>
        <w:t>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14:paraId="41850049" w14:textId="77777777" w:rsidR="00752554" w:rsidRPr="000E05A8" w:rsidRDefault="00752554" w:rsidP="00A31836">
      <w:pPr>
        <w:shd w:val="clear" w:color="auto" w:fill="FFFFFF"/>
        <w:ind w:firstLine="709"/>
        <w:jc w:val="both"/>
        <w:outlineLvl w:val="0"/>
        <w:rPr>
          <w:b/>
          <w:bCs/>
          <w:spacing w:val="-2"/>
          <w:sz w:val="22"/>
          <w:szCs w:val="22"/>
          <w:lang w:val="uk-UA"/>
        </w:rPr>
      </w:pPr>
    </w:p>
    <w:p w14:paraId="2668BA67" w14:textId="77777777" w:rsidR="00752554" w:rsidRPr="000E05A8" w:rsidRDefault="00752554" w:rsidP="00A31836">
      <w:pPr>
        <w:shd w:val="clear" w:color="auto" w:fill="FFFFFF"/>
        <w:ind w:firstLine="709"/>
        <w:jc w:val="both"/>
        <w:outlineLvl w:val="0"/>
        <w:rPr>
          <w:b/>
          <w:bCs/>
          <w:spacing w:val="-2"/>
          <w:sz w:val="22"/>
          <w:szCs w:val="22"/>
          <w:lang w:val="uk-UA"/>
        </w:rPr>
      </w:pPr>
      <w:r w:rsidRPr="000E05A8">
        <w:rPr>
          <w:b/>
          <w:bCs/>
          <w:spacing w:val="-2"/>
          <w:sz w:val="22"/>
          <w:szCs w:val="22"/>
          <w:lang w:val="uk-UA"/>
        </w:rPr>
        <w:t>3.5. Облікові політики щодо оренди</w:t>
      </w:r>
    </w:p>
    <w:p w14:paraId="63470C9C" w14:textId="77777777"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На початку дії договору</w:t>
      </w:r>
      <w:r w:rsidRPr="000E05A8">
        <w:rPr>
          <w:rStyle w:val="apple-converted-space"/>
          <w:sz w:val="22"/>
          <w:szCs w:val="22"/>
          <w:lang w:val="uk-UA"/>
        </w:rPr>
        <w:t> </w:t>
      </w:r>
      <w:r w:rsidRPr="000E05A8">
        <w:rPr>
          <w:sz w:val="22"/>
          <w:szCs w:val="22"/>
          <w:lang w:val="uk-UA"/>
        </w:rPr>
        <w:t>оренди</w:t>
      </w:r>
      <w:r w:rsidRPr="000E05A8">
        <w:rPr>
          <w:rStyle w:val="apple-converted-space"/>
          <w:sz w:val="22"/>
          <w:szCs w:val="22"/>
          <w:lang w:val="uk-UA"/>
        </w:rPr>
        <w:t> </w:t>
      </w:r>
      <w:r w:rsidRPr="000E05A8">
        <w:rPr>
          <w:sz w:val="22"/>
          <w:szCs w:val="22"/>
          <w:lang w:val="uk-UA"/>
        </w:rPr>
        <w:t>Товариство</w:t>
      </w:r>
      <w:r w:rsidRPr="000E05A8">
        <w:rPr>
          <w:rStyle w:val="apple-converted-space"/>
          <w:sz w:val="22"/>
          <w:szCs w:val="22"/>
          <w:lang w:val="uk-UA"/>
        </w:rPr>
        <w:t> </w:t>
      </w:r>
      <w:r w:rsidRPr="000E05A8">
        <w:rPr>
          <w:sz w:val="22"/>
          <w:szCs w:val="22"/>
          <w:lang w:val="uk-UA"/>
        </w:rPr>
        <w:t>оцінює</w:t>
      </w:r>
      <w:r w:rsidRPr="000E05A8">
        <w:rPr>
          <w:rStyle w:val="apple-converted-space"/>
          <w:sz w:val="22"/>
          <w:szCs w:val="22"/>
          <w:lang w:val="uk-UA"/>
        </w:rPr>
        <w:t> </w:t>
      </w:r>
      <w:r w:rsidRPr="000E05A8">
        <w:rPr>
          <w:sz w:val="22"/>
          <w:szCs w:val="22"/>
          <w:lang w:val="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p>
    <w:p w14:paraId="37BB9D7B" w14:textId="77777777"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На дату початку оренди</w:t>
      </w:r>
      <w:r w:rsidRPr="000E05A8">
        <w:rPr>
          <w:rStyle w:val="apple-converted-space"/>
          <w:sz w:val="22"/>
          <w:szCs w:val="22"/>
          <w:lang w:val="uk-UA"/>
        </w:rPr>
        <w:t> </w:t>
      </w:r>
      <w:r w:rsidRPr="000E05A8">
        <w:rPr>
          <w:sz w:val="22"/>
          <w:szCs w:val="22"/>
          <w:lang w:val="uk-UA"/>
        </w:rPr>
        <w:t>Товариство</w:t>
      </w:r>
      <w:r w:rsidRPr="000E05A8">
        <w:rPr>
          <w:rStyle w:val="apple-converted-space"/>
          <w:sz w:val="22"/>
          <w:szCs w:val="22"/>
          <w:lang w:val="uk-UA"/>
        </w:rPr>
        <w:t> </w:t>
      </w:r>
      <w:r w:rsidRPr="000E05A8">
        <w:rPr>
          <w:sz w:val="22"/>
          <w:szCs w:val="22"/>
          <w:lang w:val="uk-UA"/>
        </w:rPr>
        <w:t>визнає актив з права користування та орендне зобов’язання</w:t>
      </w:r>
      <w:r w:rsidRPr="000E05A8">
        <w:rPr>
          <w:rStyle w:val="apple-converted-space"/>
          <w:sz w:val="22"/>
          <w:szCs w:val="22"/>
          <w:lang w:val="uk-UA"/>
        </w:rPr>
        <w:t> </w:t>
      </w:r>
      <w:r w:rsidRPr="000E05A8">
        <w:rPr>
          <w:sz w:val="22"/>
          <w:szCs w:val="22"/>
          <w:lang w:val="uk-UA"/>
        </w:rPr>
        <w:t>за теперішньою вартістю орендних платежів, не сплачених на таку дату. Орендні платежі  дисконтуються, застосовуючи припустиму ставку відсотка в оренді, якщо таку ставку можна легко визначити. Якщо таку ставку не можна легко визначити, то орендар застосовує</w:t>
      </w:r>
      <w:r w:rsidRPr="000E05A8">
        <w:rPr>
          <w:rStyle w:val="apple-converted-space"/>
          <w:sz w:val="22"/>
          <w:szCs w:val="22"/>
          <w:lang w:val="uk-UA"/>
        </w:rPr>
        <w:t> </w:t>
      </w:r>
      <w:r w:rsidRPr="000E05A8">
        <w:rPr>
          <w:sz w:val="22"/>
          <w:szCs w:val="22"/>
          <w:lang w:val="uk-UA"/>
        </w:rPr>
        <w:t>ставку</w:t>
      </w:r>
      <w:r w:rsidRPr="000E05A8">
        <w:rPr>
          <w:rStyle w:val="apple-converted-space"/>
          <w:sz w:val="22"/>
          <w:szCs w:val="22"/>
          <w:lang w:val="uk-UA"/>
        </w:rPr>
        <w:t> </w:t>
      </w:r>
      <w:r w:rsidRPr="000E05A8">
        <w:rPr>
          <w:sz w:val="22"/>
          <w:szCs w:val="22"/>
          <w:lang w:val="uk-UA"/>
        </w:rPr>
        <w:t>по якій він може залучити додаткові позикові кошти.</w:t>
      </w:r>
    </w:p>
    <w:p w14:paraId="3395453C" w14:textId="59A2FF41"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Товариство нараховуючи амортизацію активу з права користування, застосовує вимоги щодо амортизації МСБО 16 Основні засоби</w:t>
      </w:r>
      <w:r w:rsidR="00AD21CE" w:rsidRPr="000E05A8">
        <w:rPr>
          <w:sz w:val="22"/>
          <w:szCs w:val="22"/>
          <w:lang w:val="uk-UA"/>
        </w:rPr>
        <w:t xml:space="preserve">, а саме – прямолінійний метод нарахування амортизації виходячи із строку оренди. </w:t>
      </w:r>
    </w:p>
    <w:p w14:paraId="008DE891" w14:textId="77777777"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 Після дати початку оренди Товариство визнає у прибутку або збитку :</w:t>
      </w:r>
    </w:p>
    <w:p w14:paraId="5F1FA704" w14:textId="77777777"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w:t>
      </w:r>
      <w:r w:rsidRPr="000E05A8">
        <w:rPr>
          <w:rStyle w:val="apple-converted-space"/>
          <w:sz w:val="22"/>
          <w:szCs w:val="22"/>
          <w:lang w:val="uk-UA"/>
        </w:rPr>
        <w:t> </w:t>
      </w:r>
      <w:r w:rsidRPr="000E05A8">
        <w:rPr>
          <w:sz w:val="22"/>
          <w:szCs w:val="22"/>
          <w:lang w:val="uk-UA"/>
        </w:rPr>
        <w:t>    проценти за орендним зобов’язанням;</w:t>
      </w:r>
    </w:p>
    <w:p w14:paraId="5C5721F7" w14:textId="77777777" w:rsidR="00752554" w:rsidRPr="000E05A8" w:rsidRDefault="00752554" w:rsidP="000D4C8F">
      <w:pPr>
        <w:pStyle w:val="a4"/>
        <w:shd w:val="clear" w:color="auto" w:fill="FFFFFF"/>
        <w:spacing w:before="0" w:beforeAutospacing="0" w:after="0" w:afterAutospacing="0"/>
        <w:ind w:firstLine="567"/>
        <w:jc w:val="both"/>
        <w:rPr>
          <w:sz w:val="22"/>
          <w:szCs w:val="22"/>
          <w:lang w:val="uk-UA"/>
        </w:rPr>
      </w:pPr>
      <w:r w:rsidRPr="000E05A8">
        <w:rPr>
          <w:sz w:val="22"/>
          <w:szCs w:val="22"/>
          <w:lang w:val="uk-UA"/>
        </w:rPr>
        <w:t>та</w:t>
      </w:r>
    </w:p>
    <w:p w14:paraId="15BEDA0C" w14:textId="77777777" w:rsidR="00752554" w:rsidRPr="000E05A8" w:rsidRDefault="00752554" w:rsidP="000D4C8F">
      <w:pPr>
        <w:pStyle w:val="a4"/>
        <w:shd w:val="clear" w:color="auto" w:fill="FFFFFF"/>
        <w:spacing w:before="0" w:beforeAutospacing="0" w:after="0" w:afterAutospacing="0"/>
        <w:ind w:firstLine="709"/>
        <w:jc w:val="both"/>
        <w:rPr>
          <w:sz w:val="22"/>
          <w:szCs w:val="22"/>
          <w:lang w:val="uk-UA"/>
        </w:rPr>
      </w:pPr>
      <w:r w:rsidRPr="000E05A8">
        <w:rPr>
          <w:sz w:val="22"/>
          <w:szCs w:val="22"/>
          <w:lang w:val="uk-UA"/>
        </w:rPr>
        <w:t>-  змінні орендні платежі, не включені в оцінку орендного зобов’язання у тому періоді, у</w:t>
      </w:r>
      <w:r w:rsidRPr="000E05A8">
        <w:rPr>
          <w:rStyle w:val="apple-converted-space"/>
          <w:sz w:val="22"/>
          <w:szCs w:val="22"/>
          <w:lang w:val="uk-UA"/>
        </w:rPr>
        <w:t> </w:t>
      </w:r>
      <w:r w:rsidRPr="000E05A8">
        <w:rPr>
          <w:sz w:val="22"/>
          <w:szCs w:val="22"/>
          <w:lang w:val="uk-UA"/>
        </w:rPr>
        <w:t>   якому сталася подія чи умови, які спричинили здійснення таких платежів</w:t>
      </w:r>
    </w:p>
    <w:p w14:paraId="55BFC59D"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Товариство буде визнавати: (а) активи і зобов’язання по відношенню до всіх договорів оренди з терміном дії понад 12 місяців, за винятком випадків, коли вартість об’єкта оренди є незначною; і (б) амортизацію об'єктів оренди окремо від відсотків по орендним зобов’язанням в звіті про прибутки і збитки. </w:t>
      </w:r>
    </w:p>
    <w:p w14:paraId="390D0E46" w14:textId="77777777" w:rsidR="00752554" w:rsidRPr="000E05A8" w:rsidRDefault="00752554" w:rsidP="00794809">
      <w:pPr>
        <w:shd w:val="clear" w:color="auto" w:fill="FFFFFF"/>
        <w:ind w:firstLine="709"/>
        <w:jc w:val="both"/>
        <w:outlineLvl w:val="0"/>
        <w:rPr>
          <w:sz w:val="22"/>
          <w:szCs w:val="22"/>
          <w:lang w:val="uk-UA"/>
        </w:rPr>
      </w:pPr>
      <w:r w:rsidRPr="000E05A8">
        <w:rPr>
          <w:sz w:val="22"/>
          <w:szCs w:val="22"/>
          <w:lang w:val="uk-UA"/>
        </w:rPr>
        <w:t>Незважаючи на те, що оцінки базуються на інформації, яка є у керівництва щодо поточних подій та обставин, фактичні результати можуть відрізнятися від даних оцінок в залежності від різних припущень або умов.</w:t>
      </w:r>
    </w:p>
    <w:p w14:paraId="2370E63A" w14:textId="77777777" w:rsidR="00BB3638" w:rsidRPr="000E05A8" w:rsidRDefault="00CE19E6" w:rsidP="00BB3638">
      <w:pPr>
        <w:shd w:val="clear" w:color="auto" w:fill="FFFFFF"/>
        <w:autoSpaceDE w:val="0"/>
        <w:autoSpaceDN w:val="0"/>
        <w:adjustRightInd w:val="0"/>
        <w:ind w:firstLine="709"/>
        <w:jc w:val="both"/>
        <w:rPr>
          <w:color w:val="FF0000"/>
          <w:sz w:val="22"/>
          <w:szCs w:val="22"/>
          <w:lang w:val="uk-UA"/>
        </w:rPr>
      </w:pPr>
      <w:r w:rsidRPr="000E05A8">
        <w:rPr>
          <w:sz w:val="22"/>
          <w:szCs w:val="22"/>
          <w:lang w:val="uk-UA"/>
        </w:rPr>
        <w:t>В</w:t>
      </w:r>
      <w:r w:rsidR="00752554" w:rsidRPr="000E05A8">
        <w:rPr>
          <w:sz w:val="22"/>
          <w:szCs w:val="22"/>
          <w:lang w:val="uk-UA"/>
        </w:rPr>
        <w:t xml:space="preserve"> </w:t>
      </w:r>
      <w:r w:rsidR="008D251F" w:rsidRPr="000E05A8">
        <w:rPr>
          <w:sz w:val="22"/>
          <w:szCs w:val="22"/>
          <w:lang w:val="uk-UA"/>
        </w:rPr>
        <w:t>серпні</w:t>
      </w:r>
      <w:r w:rsidR="00AB6145" w:rsidRPr="000E05A8">
        <w:rPr>
          <w:sz w:val="22"/>
          <w:szCs w:val="22"/>
          <w:lang w:val="uk-UA"/>
        </w:rPr>
        <w:t xml:space="preserve"> 20</w:t>
      </w:r>
      <w:r w:rsidR="008D251F" w:rsidRPr="000E05A8">
        <w:rPr>
          <w:sz w:val="22"/>
          <w:szCs w:val="22"/>
          <w:lang w:val="uk-UA"/>
        </w:rPr>
        <w:t>20</w:t>
      </w:r>
      <w:r w:rsidR="00AB6145" w:rsidRPr="000E05A8">
        <w:rPr>
          <w:sz w:val="22"/>
          <w:szCs w:val="22"/>
          <w:lang w:val="uk-UA"/>
        </w:rPr>
        <w:t xml:space="preserve"> року було укладено догові</w:t>
      </w:r>
      <w:r w:rsidR="00752554" w:rsidRPr="000E05A8">
        <w:rPr>
          <w:sz w:val="22"/>
          <w:szCs w:val="22"/>
          <w:lang w:val="uk-UA"/>
        </w:rPr>
        <w:t xml:space="preserve">р на оренду нежилого приміщення загальною площею </w:t>
      </w:r>
      <w:r w:rsidR="00B80988" w:rsidRPr="000E05A8">
        <w:rPr>
          <w:sz w:val="22"/>
          <w:szCs w:val="22"/>
          <w:lang w:val="uk-UA"/>
        </w:rPr>
        <w:t>35</w:t>
      </w:r>
      <w:r w:rsidR="00752554" w:rsidRPr="000E05A8">
        <w:rPr>
          <w:sz w:val="22"/>
          <w:szCs w:val="22"/>
          <w:lang w:val="uk-UA"/>
        </w:rPr>
        <w:t xml:space="preserve"> кв. м, розташованого за адресою: </w:t>
      </w:r>
      <w:r w:rsidR="00A32932" w:rsidRPr="000E05A8">
        <w:rPr>
          <w:sz w:val="22"/>
          <w:szCs w:val="22"/>
        </w:rPr>
        <w:t>01601, місто Київ, вул.</w:t>
      </w:r>
      <w:r w:rsidR="009D4960" w:rsidRPr="000E05A8">
        <w:rPr>
          <w:sz w:val="22"/>
          <w:szCs w:val="22"/>
        </w:rPr>
        <w:t xml:space="preserve"> </w:t>
      </w:r>
      <w:r w:rsidR="00A32932" w:rsidRPr="000E05A8">
        <w:rPr>
          <w:sz w:val="22"/>
          <w:szCs w:val="22"/>
        </w:rPr>
        <w:t>Мечнікова, будинок 2А</w:t>
      </w:r>
      <w:r w:rsidR="00A32932" w:rsidRPr="000E05A8">
        <w:rPr>
          <w:sz w:val="22"/>
          <w:szCs w:val="22"/>
          <w:lang w:val="uk-UA"/>
        </w:rPr>
        <w:t xml:space="preserve"> </w:t>
      </w:r>
      <w:r w:rsidR="00752554" w:rsidRPr="000E05A8">
        <w:rPr>
          <w:sz w:val="22"/>
          <w:szCs w:val="22"/>
          <w:lang w:val="uk-UA"/>
        </w:rPr>
        <w:t>(строк оренди –</w:t>
      </w:r>
      <w:r w:rsidR="009A41C8" w:rsidRPr="000E05A8">
        <w:rPr>
          <w:sz w:val="22"/>
          <w:szCs w:val="22"/>
          <w:lang w:val="uk-UA"/>
        </w:rPr>
        <w:t>рік</w:t>
      </w:r>
      <w:r w:rsidR="00752554" w:rsidRPr="000E05A8">
        <w:rPr>
          <w:sz w:val="22"/>
          <w:szCs w:val="22"/>
          <w:lang w:val="uk-UA"/>
        </w:rPr>
        <w:t xml:space="preserve">, вартість - на </w:t>
      </w:r>
      <w:r w:rsidR="00296C98" w:rsidRPr="000E05A8">
        <w:rPr>
          <w:sz w:val="22"/>
          <w:szCs w:val="22"/>
          <w:lang w:val="uk-UA"/>
        </w:rPr>
        <w:t>місяць</w:t>
      </w:r>
      <w:r w:rsidR="00752554" w:rsidRPr="000E05A8">
        <w:rPr>
          <w:sz w:val="22"/>
          <w:szCs w:val="22"/>
          <w:lang w:val="uk-UA"/>
        </w:rPr>
        <w:t xml:space="preserve"> </w:t>
      </w:r>
      <w:r w:rsidR="009D4960" w:rsidRPr="000E05A8">
        <w:rPr>
          <w:sz w:val="22"/>
          <w:szCs w:val="22"/>
          <w:lang w:val="uk-UA"/>
        </w:rPr>
        <w:t>800</w:t>
      </w:r>
      <w:r w:rsidR="00752554" w:rsidRPr="000E05A8">
        <w:rPr>
          <w:sz w:val="22"/>
          <w:szCs w:val="22"/>
          <w:lang w:val="uk-UA"/>
        </w:rPr>
        <w:t xml:space="preserve"> грн.</w:t>
      </w:r>
      <w:r w:rsidR="00E34739" w:rsidRPr="000E05A8">
        <w:rPr>
          <w:sz w:val="22"/>
          <w:szCs w:val="22"/>
          <w:lang w:val="uk-UA"/>
        </w:rPr>
        <w:t xml:space="preserve"> (без ПДВ)</w:t>
      </w:r>
      <w:r w:rsidR="009D4960" w:rsidRPr="000E05A8">
        <w:rPr>
          <w:sz w:val="22"/>
          <w:szCs w:val="22"/>
          <w:lang w:val="uk-UA"/>
        </w:rPr>
        <w:t xml:space="preserve"> за 1 кв.м.).</w:t>
      </w:r>
      <w:r w:rsidR="00752554" w:rsidRPr="000E05A8">
        <w:rPr>
          <w:sz w:val="22"/>
          <w:szCs w:val="22"/>
          <w:lang w:val="uk-UA"/>
        </w:rPr>
        <w:t xml:space="preserve"> </w:t>
      </w:r>
      <w:r w:rsidR="009136DE" w:rsidRPr="000E05A8">
        <w:rPr>
          <w:sz w:val="22"/>
          <w:szCs w:val="22"/>
          <w:lang w:val="uk-UA"/>
        </w:rPr>
        <w:t xml:space="preserve"> </w:t>
      </w:r>
    </w:p>
    <w:p w14:paraId="32EC5737" w14:textId="77777777" w:rsidR="00BB3638" w:rsidRPr="000E05A8" w:rsidRDefault="000B7658" w:rsidP="00BB3638">
      <w:pPr>
        <w:shd w:val="clear" w:color="auto" w:fill="FFFFFF"/>
        <w:autoSpaceDE w:val="0"/>
        <w:autoSpaceDN w:val="0"/>
        <w:adjustRightInd w:val="0"/>
        <w:ind w:firstLine="709"/>
        <w:jc w:val="both"/>
        <w:rPr>
          <w:color w:val="FF0000"/>
          <w:sz w:val="22"/>
          <w:szCs w:val="22"/>
          <w:lang w:val="uk-UA"/>
        </w:rPr>
      </w:pPr>
      <w:r w:rsidRPr="000E05A8">
        <w:rPr>
          <w:sz w:val="22"/>
          <w:szCs w:val="22"/>
          <w:shd w:val="clear" w:color="auto" w:fill="FFFFFF"/>
          <w:lang w:val="uk-UA"/>
        </w:rPr>
        <w:t>Компанія прийняла рішення не застосовувати вимоги параграфів 22-49 МСФЗ 16 «Оренда» до такої оренди, оскільки вищезазначені договори оренди є короткостроковими, пролонгація імовірна, але існує вірогідність розірвання договору оренди.</w:t>
      </w:r>
    </w:p>
    <w:p w14:paraId="70EAE8F7" w14:textId="04866564" w:rsidR="000B7658" w:rsidRPr="000E05A8" w:rsidRDefault="000B7658" w:rsidP="00BB3638">
      <w:pPr>
        <w:shd w:val="clear" w:color="auto" w:fill="FFFFFF"/>
        <w:autoSpaceDE w:val="0"/>
        <w:autoSpaceDN w:val="0"/>
        <w:adjustRightInd w:val="0"/>
        <w:ind w:firstLine="709"/>
        <w:jc w:val="both"/>
        <w:rPr>
          <w:color w:val="FF0000"/>
          <w:sz w:val="22"/>
          <w:szCs w:val="22"/>
          <w:lang w:val="uk-UA"/>
        </w:rPr>
      </w:pPr>
      <w:r w:rsidRPr="000E05A8">
        <w:rPr>
          <w:sz w:val="22"/>
          <w:szCs w:val="22"/>
          <w:shd w:val="clear" w:color="auto" w:fill="FFFFFF"/>
          <w:lang w:val="uk-UA"/>
        </w:rPr>
        <w:t xml:space="preserve">Компанія визнає орендні платежі, пов’язані з такою орендою, як витрати на прямолінійній основі протягом строку оренди. </w:t>
      </w:r>
    </w:p>
    <w:p w14:paraId="4DFFB1D3" w14:textId="77777777" w:rsidR="00752554" w:rsidRPr="000E05A8" w:rsidRDefault="00752554" w:rsidP="000B7658">
      <w:pPr>
        <w:shd w:val="clear" w:color="auto" w:fill="FFFFFF"/>
        <w:jc w:val="both"/>
        <w:outlineLvl w:val="0"/>
        <w:rPr>
          <w:sz w:val="22"/>
          <w:szCs w:val="22"/>
          <w:lang w:val="uk-UA"/>
        </w:rPr>
      </w:pPr>
    </w:p>
    <w:p w14:paraId="6555BF6C"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3.6. Облікові політики щодо податку на прибуток</w:t>
      </w:r>
    </w:p>
    <w:p w14:paraId="259D6EE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Товариства за податками розраховуються з використанням податкових ставок, чинних (або в основному чинних) на дату балансу.</w:t>
      </w:r>
    </w:p>
    <w:p w14:paraId="23B521A9"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76D926A2"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Відстрочені податкові зобов'язання визнаються, як правило, щодо всіх тимчасових різниць, що підлягають оподаткуванню. Відстрочені податкові активи визнаються з урахуванням імовірності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03AC17AE"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і включає в прибуток або збиток за звітний період, окрім </w:t>
      </w:r>
      <w:r w:rsidRPr="000E05A8">
        <w:rPr>
          <w:sz w:val="22"/>
          <w:szCs w:val="22"/>
          <w:lang w:val="uk-UA"/>
        </w:rPr>
        <w:lastRenderedPageBreak/>
        <w:t>випадків, коли податки виникають від операцій або подій, які визнаються прямо у власному капіталі або від об'єднання бізнесу.</w:t>
      </w:r>
    </w:p>
    <w:p w14:paraId="7C152761"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5294A4C8" w14:textId="77777777" w:rsidR="00752554" w:rsidRPr="000E05A8" w:rsidRDefault="00752554" w:rsidP="00794809">
      <w:pPr>
        <w:shd w:val="clear" w:color="auto" w:fill="FFFFFF"/>
        <w:ind w:firstLine="709"/>
        <w:jc w:val="both"/>
        <w:outlineLvl w:val="0"/>
        <w:rPr>
          <w:b/>
          <w:bCs/>
          <w:spacing w:val="-2"/>
          <w:sz w:val="22"/>
          <w:szCs w:val="22"/>
          <w:lang w:val="uk-UA"/>
        </w:rPr>
      </w:pPr>
    </w:p>
    <w:p w14:paraId="2B825FE7"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 xml:space="preserve">3.7. Облікові політики щодо інших активів та зобов’язань </w:t>
      </w:r>
    </w:p>
    <w:p w14:paraId="506F6336"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3.7.1. Забезпечення</w:t>
      </w:r>
    </w:p>
    <w:p w14:paraId="5C3DE23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14:paraId="4D1D0CE9" w14:textId="77777777" w:rsidR="00752554" w:rsidRPr="000E05A8" w:rsidRDefault="00752554" w:rsidP="00794809">
      <w:pPr>
        <w:ind w:firstLine="709"/>
        <w:jc w:val="both"/>
        <w:rPr>
          <w:bCs/>
          <w:sz w:val="22"/>
          <w:szCs w:val="22"/>
          <w:shd w:val="clear" w:color="auto" w:fill="FFFFFF"/>
          <w:lang w:val="uk-UA"/>
        </w:rPr>
      </w:pPr>
      <w:r w:rsidRPr="000E05A8">
        <w:rPr>
          <w:bCs/>
          <w:sz w:val="22"/>
          <w:szCs w:val="22"/>
          <w:shd w:val="clear" w:color="auto" w:fill="FFFFFF"/>
          <w:lang w:val="uk-UA"/>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14:paraId="6E851CCF" w14:textId="77777777" w:rsidR="00752554" w:rsidRPr="000E05A8" w:rsidRDefault="00752554" w:rsidP="00794809">
      <w:pPr>
        <w:shd w:val="clear" w:color="auto" w:fill="FFFFFF"/>
        <w:ind w:firstLine="709"/>
        <w:jc w:val="both"/>
        <w:outlineLvl w:val="0"/>
        <w:rPr>
          <w:b/>
          <w:bCs/>
          <w:i/>
          <w:spacing w:val="2"/>
          <w:sz w:val="22"/>
          <w:szCs w:val="22"/>
          <w:lang w:val="uk-UA"/>
        </w:rPr>
      </w:pPr>
    </w:p>
    <w:p w14:paraId="03AF2D0F"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3.7.2. Виплати працівникам</w:t>
      </w:r>
    </w:p>
    <w:p w14:paraId="726055AA"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14:paraId="6DDBE05E" w14:textId="77777777" w:rsidR="003C182B" w:rsidRPr="000E05A8" w:rsidRDefault="003C182B" w:rsidP="00794809">
      <w:pPr>
        <w:shd w:val="clear" w:color="auto" w:fill="FFFFFF"/>
        <w:ind w:firstLine="709"/>
        <w:jc w:val="both"/>
        <w:outlineLvl w:val="0"/>
        <w:rPr>
          <w:b/>
          <w:bCs/>
          <w:i/>
          <w:spacing w:val="2"/>
          <w:sz w:val="22"/>
          <w:szCs w:val="22"/>
          <w:lang w:val="uk-UA"/>
        </w:rPr>
      </w:pPr>
    </w:p>
    <w:p w14:paraId="0212E8BF" w14:textId="52BB132F"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3.7.3. Пенсійні зобов'язання</w:t>
      </w:r>
    </w:p>
    <w:p w14:paraId="2A7799AA"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Відповідно до українського законодавства, Товариство нараховує внески на суму  заробітної плати працівників до Пенсійного фонду. Поточні нарахування  розраховуються як процентні нарахування із поточних нарахувань заробітної платні, такі витрати відображаються у періоді, в якому були надані працівниками послуги.</w:t>
      </w:r>
    </w:p>
    <w:p w14:paraId="494EE407" w14:textId="77777777" w:rsidR="00752554" w:rsidRPr="000E05A8" w:rsidRDefault="00752554" w:rsidP="00794809">
      <w:pPr>
        <w:shd w:val="clear" w:color="auto" w:fill="FFFFFF"/>
        <w:ind w:firstLine="709"/>
        <w:jc w:val="both"/>
        <w:outlineLvl w:val="0"/>
        <w:rPr>
          <w:b/>
          <w:bCs/>
          <w:spacing w:val="-2"/>
          <w:sz w:val="22"/>
          <w:szCs w:val="22"/>
          <w:lang w:val="uk-UA"/>
        </w:rPr>
      </w:pPr>
    </w:p>
    <w:p w14:paraId="728EC625" w14:textId="77777777"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3.8. Інші застосовані облікові політики, що є доречними для розуміння проміжної фінансової звітності</w:t>
      </w:r>
    </w:p>
    <w:p w14:paraId="41CC2EBA"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3.8.1 Доходи та витрати</w:t>
      </w:r>
    </w:p>
    <w:p w14:paraId="51297F38"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bCs/>
          <w:sz w:val="22"/>
          <w:szCs w:val="22"/>
          <w:lang w:val="uk-UA"/>
        </w:rPr>
        <w:t xml:space="preserve">Товариство визнає дохід від надання послуг, коли (або у міру того, як) воно задовольняє зобов’язання щодо виконання, передаючи обіцяну послугу (тобто актив) клієнтові. Актив передається, коли (або у міру того, як) клієнт отримує контроль над таким активом. </w:t>
      </w:r>
    </w:p>
    <w:p w14:paraId="40026587"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При визначені вартості винагороди від управління активами Товариство відповідно до МСФЗ 15 використовує метод оцінювання за результатом. До методу оцінювання за результатом належить, зокрема, аналіз виконання, завершеного на сьогоднішній день, оцінки досягнутих результатів. Враховуючи принцип професійного скептицизму для змінної вартості винагороди розрахунок доходу здійснюється на кінець кожного місяця. Результат визначення розміру винагороди по управлінню активами оформлюється актом виконаних робіт, в якому відображається розрахунок (оцінка) досягнутих результатів на звітну дату.</w:t>
      </w:r>
    </w:p>
    <w:p w14:paraId="36FDD23F"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Дохід від продажу фінансових активів визнається у прибутку або збитку в разі задоволення всіх наведених далі умов:</w:t>
      </w:r>
    </w:p>
    <w:p w14:paraId="42778B6F"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а) Товариство </w:t>
      </w:r>
      <w:r w:rsidRPr="000E05A8">
        <w:rPr>
          <w:bCs/>
          <w:sz w:val="22"/>
          <w:szCs w:val="22"/>
          <w:lang w:val="uk-UA"/>
        </w:rPr>
        <w:t>передає договірні права на одержання грошових потоків від такого фінансового активу</w:t>
      </w:r>
      <w:r w:rsidRPr="000E05A8">
        <w:rPr>
          <w:b/>
          <w:bCs/>
          <w:sz w:val="22"/>
          <w:szCs w:val="22"/>
          <w:lang w:val="uk-UA"/>
        </w:rPr>
        <w:t>;</w:t>
      </w:r>
    </w:p>
    <w:p w14:paraId="7F2D0546"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bCs/>
          <w:sz w:val="22"/>
          <w:szCs w:val="22"/>
          <w:lang w:val="uk-UA"/>
        </w:rPr>
        <w:t>б) Товариство передало покупцеві ризики та переваги від володіння, пов’язані з фінансовим активів;</w:t>
      </w:r>
    </w:p>
    <w:p w14:paraId="7D305A78"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bCs/>
          <w:sz w:val="22"/>
          <w:szCs w:val="22"/>
          <w:lang w:val="uk-UA"/>
        </w:rPr>
        <w:t>в) 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фінансовими інструментами, інвестиційною нерухомістю або іншими активами;</w:t>
      </w:r>
    </w:p>
    <w:p w14:paraId="430B9A2A"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bCs/>
          <w:sz w:val="22"/>
          <w:szCs w:val="22"/>
          <w:lang w:val="uk-UA"/>
        </w:rPr>
        <w:t>г) суму доходу можна достовірно оцінити;</w:t>
      </w:r>
    </w:p>
    <w:p w14:paraId="2F261EBE"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bCs/>
          <w:sz w:val="22"/>
          <w:szCs w:val="22"/>
          <w:lang w:val="uk-UA"/>
        </w:rPr>
        <w:t>д) ймовірно, що до Товариства надійдуть економічні вигоди, пов’язані з операцією;</w:t>
      </w:r>
    </w:p>
    <w:p w14:paraId="64761E90" w14:textId="77777777" w:rsidR="00752554" w:rsidRPr="000E05A8" w:rsidRDefault="00752554" w:rsidP="00794809">
      <w:pPr>
        <w:pStyle w:val="a4"/>
        <w:tabs>
          <w:tab w:val="left" w:pos="993"/>
        </w:tabs>
        <w:spacing w:before="0" w:beforeAutospacing="0" w:after="0" w:afterAutospacing="0"/>
        <w:ind w:firstLine="709"/>
        <w:jc w:val="both"/>
        <w:rPr>
          <w:bCs/>
          <w:sz w:val="22"/>
          <w:szCs w:val="22"/>
          <w:lang w:val="uk-UA"/>
        </w:rPr>
      </w:pPr>
      <w:r w:rsidRPr="000E05A8">
        <w:rPr>
          <w:bCs/>
          <w:sz w:val="22"/>
          <w:szCs w:val="22"/>
          <w:lang w:val="uk-UA"/>
        </w:rPr>
        <w:lastRenderedPageBreak/>
        <w:t>та</w:t>
      </w:r>
    </w:p>
    <w:p w14:paraId="227F555A" w14:textId="77777777" w:rsidR="00752554" w:rsidRPr="000E05A8" w:rsidRDefault="00752554" w:rsidP="00794809">
      <w:pPr>
        <w:shd w:val="clear" w:color="auto" w:fill="FFFFFF"/>
        <w:autoSpaceDE w:val="0"/>
        <w:autoSpaceDN w:val="0"/>
        <w:adjustRightInd w:val="0"/>
        <w:ind w:firstLine="709"/>
        <w:jc w:val="both"/>
        <w:rPr>
          <w:bCs/>
          <w:sz w:val="22"/>
          <w:szCs w:val="22"/>
          <w:lang w:val="uk-UA"/>
        </w:rPr>
      </w:pPr>
      <w:r w:rsidRPr="000E05A8">
        <w:rPr>
          <w:sz w:val="22"/>
          <w:szCs w:val="22"/>
          <w:lang w:val="uk-UA"/>
        </w:rPr>
        <w:t>е)</w:t>
      </w:r>
      <w:r w:rsidRPr="000E05A8">
        <w:rPr>
          <w:bCs/>
          <w:sz w:val="22"/>
          <w:szCs w:val="22"/>
          <w:lang w:val="uk-UA"/>
        </w:rPr>
        <w:t>витрати, які були або будуть понесені у зв’язку з операцією, можна достовірно оцінити.</w:t>
      </w:r>
    </w:p>
    <w:p w14:paraId="09FA2BC6" w14:textId="77777777" w:rsidR="00752554" w:rsidRPr="000E05A8" w:rsidRDefault="00752554" w:rsidP="00794809">
      <w:pPr>
        <w:shd w:val="clear" w:color="auto" w:fill="FFFFFF"/>
        <w:autoSpaceDE w:val="0"/>
        <w:autoSpaceDN w:val="0"/>
        <w:adjustRightInd w:val="0"/>
        <w:ind w:firstLine="709"/>
        <w:jc w:val="both"/>
        <w:outlineLvl w:val="0"/>
        <w:rPr>
          <w:sz w:val="22"/>
          <w:szCs w:val="22"/>
          <w:lang w:val="uk-UA"/>
        </w:rPr>
      </w:pPr>
      <w:r w:rsidRPr="000E05A8">
        <w:rPr>
          <w:b/>
          <w:sz w:val="22"/>
          <w:szCs w:val="22"/>
          <w:lang w:val="uk-UA"/>
        </w:rPr>
        <w:t>Дивіденди визнаються доходом лише у разі, якщо</w:t>
      </w:r>
      <w:r w:rsidRPr="000E05A8">
        <w:rPr>
          <w:sz w:val="22"/>
          <w:szCs w:val="22"/>
          <w:lang w:val="uk-UA"/>
        </w:rPr>
        <w:t>:</w:t>
      </w:r>
    </w:p>
    <w:p w14:paraId="5D6E08BE" w14:textId="77777777" w:rsidR="00752554" w:rsidRPr="000E05A8" w:rsidRDefault="00752554" w:rsidP="00794809">
      <w:pPr>
        <w:numPr>
          <w:ilvl w:val="0"/>
          <w:numId w:val="5"/>
        </w:numPr>
        <w:shd w:val="clear" w:color="auto" w:fill="FFFFFF"/>
        <w:autoSpaceDE w:val="0"/>
        <w:autoSpaceDN w:val="0"/>
        <w:adjustRightInd w:val="0"/>
        <w:ind w:left="0" w:firstLine="709"/>
        <w:jc w:val="both"/>
        <w:rPr>
          <w:sz w:val="22"/>
          <w:szCs w:val="22"/>
          <w:lang w:val="uk-UA"/>
        </w:rPr>
      </w:pPr>
      <w:r w:rsidRPr="000E05A8">
        <w:rPr>
          <w:sz w:val="22"/>
          <w:szCs w:val="22"/>
          <w:lang w:val="uk-UA"/>
        </w:rPr>
        <w:t>право Товариства на одержання виплат за дивідендами встановлено;</w:t>
      </w:r>
    </w:p>
    <w:p w14:paraId="61525B9B" w14:textId="77777777" w:rsidR="00752554" w:rsidRPr="000E05A8" w:rsidRDefault="00752554" w:rsidP="00794809">
      <w:pPr>
        <w:numPr>
          <w:ilvl w:val="0"/>
          <w:numId w:val="5"/>
        </w:numPr>
        <w:shd w:val="clear" w:color="auto" w:fill="FFFFFF"/>
        <w:autoSpaceDE w:val="0"/>
        <w:autoSpaceDN w:val="0"/>
        <w:adjustRightInd w:val="0"/>
        <w:ind w:left="0" w:firstLine="709"/>
        <w:jc w:val="both"/>
        <w:rPr>
          <w:sz w:val="22"/>
          <w:szCs w:val="22"/>
          <w:lang w:val="uk-UA"/>
        </w:rPr>
      </w:pPr>
      <w:r w:rsidRPr="000E05A8">
        <w:rPr>
          <w:sz w:val="22"/>
          <w:szCs w:val="22"/>
          <w:lang w:val="uk-UA"/>
        </w:rPr>
        <w:t>є ймовірність, що економічні вигоди, пов’язані з дивідендами, надійдуть до Товариства;</w:t>
      </w:r>
    </w:p>
    <w:p w14:paraId="2F912971" w14:textId="77777777" w:rsidR="00752554" w:rsidRPr="000E05A8" w:rsidRDefault="00752554" w:rsidP="00794809">
      <w:pPr>
        <w:numPr>
          <w:ilvl w:val="0"/>
          <w:numId w:val="5"/>
        </w:numPr>
        <w:shd w:val="clear" w:color="auto" w:fill="FFFFFF"/>
        <w:autoSpaceDE w:val="0"/>
        <w:autoSpaceDN w:val="0"/>
        <w:adjustRightInd w:val="0"/>
        <w:ind w:left="0" w:firstLine="709"/>
        <w:jc w:val="both"/>
        <w:rPr>
          <w:sz w:val="22"/>
          <w:szCs w:val="22"/>
          <w:lang w:val="uk-UA"/>
        </w:rPr>
      </w:pPr>
      <w:r w:rsidRPr="000E05A8">
        <w:rPr>
          <w:sz w:val="22"/>
          <w:szCs w:val="22"/>
          <w:lang w:val="uk-UA"/>
        </w:rPr>
        <w:t>суму дивідендів можна достовірно оцінити.</w:t>
      </w:r>
    </w:p>
    <w:p w14:paraId="252BCAB9" w14:textId="77777777" w:rsidR="00030722" w:rsidRPr="000E05A8" w:rsidRDefault="00752554" w:rsidP="00030722">
      <w:pPr>
        <w:shd w:val="clear" w:color="auto" w:fill="FFFFFF"/>
        <w:autoSpaceDE w:val="0"/>
        <w:autoSpaceDN w:val="0"/>
        <w:adjustRightInd w:val="0"/>
        <w:ind w:firstLine="709"/>
        <w:jc w:val="both"/>
        <w:rPr>
          <w:sz w:val="22"/>
          <w:szCs w:val="22"/>
          <w:lang w:val="uk-UA"/>
        </w:rPr>
      </w:pPr>
      <w:r w:rsidRPr="000E05A8">
        <w:rPr>
          <w:sz w:val="22"/>
          <w:szCs w:val="22"/>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72BCE3F9" w14:textId="77777777" w:rsidR="00030722" w:rsidRPr="000E05A8" w:rsidRDefault="00504089" w:rsidP="00030722">
      <w:pPr>
        <w:shd w:val="clear" w:color="auto" w:fill="FFFFFF"/>
        <w:autoSpaceDE w:val="0"/>
        <w:autoSpaceDN w:val="0"/>
        <w:adjustRightInd w:val="0"/>
        <w:ind w:firstLine="709"/>
        <w:jc w:val="both"/>
        <w:rPr>
          <w:sz w:val="22"/>
          <w:szCs w:val="22"/>
          <w:lang w:val="uk-UA"/>
        </w:rPr>
      </w:pPr>
      <w:r w:rsidRPr="000E05A8">
        <w:rPr>
          <w:sz w:val="22"/>
          <w:szCs w:val="22"/>
          <w:lang w:val="uk-UA"/>
        </w:rPr>
        <w:t xml:space="preserve">Витрати - зменшення активів або збільшення зобов'язань, наслідком якого є зменшення власного капіталу, крім як унаслідок здійснення розподілу держателів вимог до власного капіталу. </w:t>
      </w:r>
    </w:p>
    <w:p w14:paraId="5195B3F4" w14:textId="77777777" w:rsidR="00030722" w:rsidRPr="000E05A8" w:rsidRDefault="00504089" w:rsidP="00030722">
      <w:pPr>
        <w:shd w:val="clear" w:color="auto" w:fill="FFFFFF"/>
        <w:autoSpaceDE w:val="0"/>
        <w:autoSpaceDN w:val="0"/>
        <w:adjustRightInd w:val="0"/>
        <w:ind w:firstLine="709"/>
        <w:jc w:val="both"/>
        <w:rPr>
          <w:sz w:val="22"/>
          <w:szCs w:val="22"/>
          <w:lang w:val="uk-UA"/>
        </w:rPr>
      </w:pPr>
      <w:r w:rsidRPr="000E05A8">
        <w:rPr>
          <w:sz w:val="22"/>
          <w:szCs w:val="22"/>
          <w:lang w:val="uk-UA"/>
        </w:rPr>
        <w:t xml:space="preserve">Визнання витрат відбувається одночасно з: </w:t>
      </w:r>
    </w:p>
    <w:p w14:paraId="37BCF83E" w14:textId="77777777" w:rsidR="00030722" w:rsidRPr="000E05A8" w:rsidRDefault="00504089" w:rsidP="00030722">
      <w:pPr>
        <w:shd w:val="clear" w:color="auto" w:fill="FFFFFF"/>
        <w:autoSpaceDE w:val="0"/>
        <w:autoSpaceDN w:val="0"/>
        <w:adjustRightInd w:val="0"/>
        <w:ind w:firstLine="709"/>
        <w:jc w:val="both"/>
        <w:rPr>
          <w:sz w:val="22"/>
          <w:szCs w:val="22"/>
          <w:lang w:val="uk-UA"/>
        </w:rPr>
      </w:pPr>
      <w:r w:rsidRPr="000E05A8">
        <w:rPr>
          <w:sz w:val="22"/>
          <w:szCs w:val="22"/>
          <w:lang w:val="uk-UA"/>
        </w:rPr>
        <w:t xml:space="preserve">(i) первісним визнанням зобов’язання чи збільшенням балансової вартості зобов'язання; або </w:t>
      </w:r>
    </w:p>
    <w:p w14:paraId="63A0BC8F" w14:textId="5A6D8CBC" w:rsidR="00504089" w:rsidRPr="000E05A8" w:rsidRDefault="00504089" w:rsidP="00030722">
      <w:pPr>
        <w:shd w:val="clear" w:color="auto" w:fill="FFFFFF"/>
        <w:autoSpaceDE w:val="0"/>
        <w:autoSpaceDN w:val="0"/>
        <w:adjustRightInd w:val="0"/>
        <w:ind w:firstLine="709"/>
        <w:jc w:val="both"/>
        <w:rPr>
          <w:sz w:val="22"/>
          <w:szCs w:val="22"/>
          <w:lang w:val="uk-UA"/>
        </w:rPr>
      </w:pPr>
      <w:r w:rsidRPr="000E05A8">
        <w:rPr>
          <w:sz w:val="22"/>
          <w:szCs w:val="22"/>
          <w:lang w:val="uk-UA"/>
        </w:rPr>
        <w:t xml:space="preserve">(ii) припиненням визнання активу чи зменшенням балансової вартості активу. </w:t>
      </w:r>
    </w:p>
    <w:p w14:paraId="731971C4" w14:textId="13ADE2DB" w:rsidR="00504089" w:rsidRPr="000E05A8" w:rsidRDefault="00504089" w:rsidP="00794809">
      <w:pPr>
        <w:shd w:val="clear" w:color="auto" w:fill="FFFFFF"/>
        <w:ind w:firstLine="709"/>
        <w:jc w:val="both"/>
        <w:outlineLvl w:val="0"/>
        <w:rPr>
          <w:b/>
          <w:bCs/>
          <w:i/>
          <w:color w:val="FF0000"/>
          <w:spacing w:val="2"/>
          <w:sz w:val="22"/>
          <w:szCs w:val="22"/>
        </w:rPr>
      </w:pPr>
    </w:p>
    <w:p w14:paraId="70FEC0D1"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3.8.2. Умовні зобов'язання та активи.</w:t>
      </w:r>
    </w:p>
    <w:p w14:paraId="78380097"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14:paraId="4EB08DA5" w14:textId="77777777" w:rsidR="008E4DC3" w:rsidRPr="000E05A8" w:rsidRDefault="008E4DC3" w:rsidP="00794809">
      <w:pPr>
        <w:shd w:val="clear" w:color="auto" w:fill="FFFFFF"/>
        <w:ind w:firstLine="709"/>
        <w:jc w:val="both"/>
        <w:rPr>
          <w:b/>
          <w:bCs/>
          <w:spacing w:val="-2"/>
          <w:sz w:val="22"/>
          <w:szCs w:val="22"/>
          <w:lang w:val="uk-UA"/>
        </w:rPr>
      </w:pPr>
    </w:p>
    <w:p w14:paraId="7E823B50" w14:textId="35A32433"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4. Основні припущення, оцінки та судження</w:t>
      </w:r>
    </w:p>
    <w:p w14:paraId="2494406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При підготовці проміжної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проміжної фінансової звітності за МСФЗ, наведені нижче.</w:t>
      </w:r>
    </w:p>
    <w:p w14:paraId="6676F905" w14:textId="77777777" w:rsidR="00752554" w:rsidRPr="000E05A8" w:rsidRDefault="00752554" w:rsidP="00794809">
      <w:pPr>
        <w:shd w:val="clear" w:color="auto" w:fill="FFFFFF"/>
        <w:ind w:firstLine="709"/>
        <w:jc w:val="both"/>
        <w:outlineLvl w:val="0"/>
        <w:rPr>
          <w:b/>
          <w:bCs/>
          <w:spacing w:val="-2"/>
          <w:sz w:val="22"/>
          <w:szCs w:val="22"/>
          <w:lang w:val="uk-UA"/>
        </w:rPr>
      </w:pPr>
    </w:p>
    <w:p w14:paraId="7D3C1399"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4.1. Судження щодо операцій, подій або умов за відсутності конкретних МСФЗ</w:t>
      </w:r>
    </w:p>
    <w:p w14:paraId="04C8CC2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264D6391"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подає достовірно фінансовий стан, фінансові результати діяльності та грошові потоки Товариства;</w:t>
      </w:r>
    </w:p>
    <w:p w14:paraId="01F17245"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відображає економічну сутність операцій, інших подій або умов, а не лише юридичну форму;</w:t>
      </w:r>
    </w:p>
    <w:p w14:paraId="26B96436"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є нейтральною, тобто вільною від упереджень;</w:t>
      </w:r>
    </w:p>
    <w:p w14:paraId="3146265D" w14:textId="77777777" w:rsidR="00752554" w:rsidRPr="000E05A8" w:rsidRDefault="00752554" w:rsidP="00794809">
      <w:pPr>
        <w:numPr>
          <w:ilvl w:val="0"/>
          <w:numId w:val="2"/>
        </w:numPr>
        <w:shd w:val="clear" w:color="auto" w:fill="FFFFFF"/>
        <w:tabs>
          <w:tab w:val="left" w:pos="993"/>
        </w:tabs>
        <w:autoSpaceDE w:val="0"/>
        <w:autoSpaceDN w:val="0"/>
        <w:adjustRightInd w:val="0"/>
        <w:ind w:left="0" w:firstLine="709"/>
        <w:jc w:val="both"/>
        <w:rPr>
          <w:sz w:val="22"/>
          <w:szCs w:val="22"/>
          <w:lang w:val="uk-UA"/>
        </w:rPr>
      </w:pPr>
      <w:r w:rsidRPr="000E05A8">
        <w:rPr>
          <w:sz w:val="22"/>
          <w:szCs w:val="22"/>
          <w:lang w:val="uk-UA"/>
        </w:rPr>
        <w:t>є повною в усіх суттєвих аспектах.</w:t>
      </w:r>
    </w:p>
    <w:p w14:paraId="6B3A97D9"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Під час здійснення судження керівництво Товариства посилається на прийнятність наведених далі джерел та враховує їх у низхідному порядку:</w:t>
      </w:r>
    </w:p>
    <w:p w14:paraId="41E04669" w14:textId="77777777" w:rsidR="00752554" w:rsidRPr="000E05A8" w:rsidRDefault="00752554" w:rsidP="00794809">
      <w:pPr>
        <w:pStyle w:val="a4"/>
        <w:numPr>
          <w:ilvl w:val="0"/>
          <w:numId w:val="3"/>
        </w:numPr>
        <w:tabs>
          <w:tab w:val="left" w:pos="993"/>
        </w:tabs>
        <w:spacing w:before="0" w:beforeAutospacing="0" w:after="0" w:afterAutospacing="0"/>
        <w:ind w:left="0" w:firstLine="709"/>
        <w:jc w:val="both"/>
        <w:rPr>
          <w:bCs/>
          <w:sz w:val="22"/>
          <w:szCs w:val="22"/>
          <w:lang w:val="uk-UA"/>
        </w:rPr>
      </w:pPr>
      <w:r w:rsidRPr="000E05A8">
        <w:rPr>
          <w:bCs/>
          <w:sz w:val="22"/>
          <w:szCs w:val="22"/>
          <w:lang w:val="uk-UA"/>
        </w:rPr>
        <w:t>вимоги в МСФЗ, у яких ідеться про подібні та пов’язані з ними питання;</w:t>
      </w:r>
    </w:p>
    <w:p w14:paraId="53F9F73F" w14:textId="77777777" w:rsidR="00752554" w:rsidRPr="000E05A8" w:rsidRDefault="00752554" w:rsidP="00794809">
      <w:pPr>
        <w:pStyle w:val="a4"/>
        <w:numPr>
          <w:ilvl w:val="0"/>
          <w:numId w:val="3"/>
        </w:numPr>
        <w:tabs>
          <w:tab w:val="left" w:pos="993"/>
        </w:tabs>
        <w:spacing w:before="0" w:beforeAutospacing="0" w:after="0" w:afterAutospacing="0"/>
        <w:ind w:left="0" w:firstLine="709"/>
        <w:jc w:val="both"/>
        <w:rPr>
          <w:bCs/>
          <w:sz w:val="22"/>
          <w:szCs w:val="22"/>
          <w:lang w:val="uk-UA"/>
        </w:rPr>
      </w:pPr>
      <w:r w:rsidRPr="000E05A8">
        <w:rPr>
          <w:bCs/>
          <w:sz w:val="22"/>
          <w:szCs w:val="22"/>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14:paraId="378F023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04546853"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Операції, що не регламентуються МСФЗ Товариством не здійснювались.</w:t>
      </w:r>
    </w:p>
    <w:p w14:paraId="3532ED0D" w14:textId="77777777" w:rsidR="00752554" w:rsidRPr="000E05A8" w:rsidRDefault="00752554" w:rsidP="00794809">
      <w:pPr>
        <w:shd w:val="clear" w:color="auto" w:fill="FFFFFF"/>
        <w:ind w:firstLine="709"/>
        <w:jc w:val="both"/>
        <w:rPr>
          <w:b/>
          <w:bCs/>
          <w:spacing w:val="-2"/>
          <w:sz w:val="22"/>
          <w:szCs w:val="22"/>
          <w:lang w:val="uk-UA"/>
        </w:rPr>
      </w:pPr>
    </w:p>
    <w:p w14:paraId="7DBCEEB3"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4.2. Судження щодо справедливої вартості активів Товариства</w:t>
      </w:r>
    </w:p>
    <w:p w14:paraId="541E4735"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lastRenderedPageBreak/>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289E9199" w14:textId="77777777" w:rsidR="00752554" w:rsidRPr="000E05A8" w:rsidRDefault="00752554" w:rsidP="00794809">
      <w:pPr>
        <w:shd w:val="clear" w:color="auto" w:fill="FFFFFF"/>
        <w:ind w:firstLine="709"/>
        <w:jc w:val="both"/>
        <w:outlineLvl w:val="0"/>
        <w:rPr>
          <w:b/>
          <w:bCs/>
          <w:spacing w:val="-2"/>
          <w:sz w:val="22"/>
          <w:szCs w:val="22"/>
          <w:lang w:val="uk-UA"/>
        </w:rPr>
      </w:pPr>
    </w:p>
    <w:p w14:paraId="66447026"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4.3. Судження щодо змін справедливої вартості фінансових активів</w:t>
      </w:r>
    </w:p>
    <w:p w14:paraId="6A8F4C47"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14:paraId="166E1DE8" w14:textId="77777777" w:rsidR="00752554" w:rsidRPr="000E05A8" w:rsidRDefault="00752554" w:rsidP="00794809">
      <w:pPr>
        <w:pStyle w:val="a4"/>
        <w:numPr>
          <w:ilvl w:val="0"/>
          <w:numId w:val="4"/>
        </w:numPr>
        <w:tabs>
          <w:tab w:val="left" w:pos="993"/>
        </w:tabs>
        <w:spacing w:before="0" w:beforeAutospacing="0" w:after="0" w:afterAutospacing="0"/>
        <w:ind w:left="0" w:firstLine="709"/>
        <w:jc w:val="both"/>
        <w:rPr>
          <w:bCs/>
          <w:sz w:val="22"/>
          <w:szCs w:val="22"/>
          <w:lang w:val="uk-UA"/>
        </w:rPr>
      </w:pPr>
      <w:r w:rsidRPr="000E05A8">
        <w:rPr>
          <w:bCs/>
          <w:sz w:val="22"/>
          <w:szCs w:val="22"/>
          <w:lang w:val="uk-UA"/>
        </w:rPr>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волатильності,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14:paraId="197E0628" w14:textId="77777777" w:rsidR="00752554" w:rsidRPr="000E05A8" w:rsidRDefault="00752554" w:rsidP="00794809">
      <w:pPr>
        <w:pStyle w:val="a4"/>
        <w:numPr>
          <w:ilvl w:val="0"/>
          <w:numId w:val="4"/>
        </w:numPr>
        <w:tabs>
          <w:tab w:val="left" w:pos="993"/>
        </w:tabs>
        <w:spacing w:before="0" w:beforeAutospacing="0" w:after="0" w:afterAutospacing="0"/>
        <w:ind w:left="0" w:firstLine="709"/>
        <w:jc w:val="both"/>
        <w:rPr>
          <w:bCs/>
          <w:sz w:val="22"/>
          <w:szCs w:val="22"/>
          <w:lang w:val="uk-UA"/>
        </w:rPr>
      </w:pPr>
      <w:r w:rsidRPr="000E05A8">
        <w:rPr>
          <w:bCs/>
          <w:sz w:val="22"/>
          <w:szCs w:val="22"/>
          <w:lang w:val="uk-UA"/>
        </w:rPr>
        <w:t>вплив зміни в оцінках на активи, відображені в звіті про фінансовий стан, а також на доходи (витрати) може бути значним.</w:t>
      </w:r>
    </w:p>
    <w:p w14:paraId="12BEDAD7"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Якби керівництво Товариства використовувало інші припущення щодо відсоткових ставок, волатильності,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14:paraId="3EDE2753"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Підприємства,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6B975DFC"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14:paraId="28FD8DA6" w14:textId="77777777" w:rsidR="00752554" w:rsidRPr="000E05A8" w:rsidRDefault="00752554" w:rsidP="00794809">
      <w:pPr>
        <w:shd w:val="clear" w:color="auto" w:fill="FFFFFF"/>
        <w:ind w:firstLine="709"/>
        <w:jc w:val="both"/>
        <w:outlineLvl w:val="0"/>
        <w:rPr>
          <w:b/>
          <w:bCs/>
          <w:spacing w:val="-2"/>
          <w:sz w:val="22"/>
          <w:szCs w:val="22"/>
          <w:lang w:val="uk-UA"/>
        </w:rPr>
      </w:pPr>
    </w:p>
    <w:p w14:paraId="222FF1F2"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4.4. Судження щодо очікуваних термінів утримування фінансових інструментів</w:t>
      </w:r>
    </w:p>
    <w:p w14:paraId="2461A62F"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14:paraId="513127AC" w14:textId="77777777" w:rsidR="00752554" w:rsidRPr="000E05A8" w:rsidRDefault="00752554" w:rsidP="00794809">
      <w:pPr>
        <w:shd w:val="clear" w:color="auto" w:fill="FFFFFF"/>
        <w:ind w:firstLine="709"/>
        <w:jc w:val="both"/>
        <w:outlineLvl w:val="0"/>
        <w:rPr>
          <w:b/>
          <w:bCs/>
          <w:spacing w:val="-2"/>
          <w:sz w:val="22"/>
          <w:szCs w:val="22"/>
          <w:lang w:val="uk-UA"/>
        </w:rPr>
      </w:pPr>
    </w:p>
    <w:p w14:paraId="65CBE014"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4.5. Використання ставок дисконтування</w:t>
      </w:r>
    </w:p>
    <w:p w14:paraId="59603D00" w14:textId="77777777" w:rsidR="00752554" w:rsidRPr="000E05A8" w:rsidRDefault="00752554" w:rsidP="00794809">
      <w:pPr>
        <w:pStyle w:val="1"/>
        <w:ind w:firstLine="709"/>
        <w:jc w:val="both"/>
        <w:rPr>
          <w:sz w:val="22"/>
          <w:szCs w:val="22"/>
        </w:rPr>
      </w:pPr>
      <w:r w:rsidRPr="000E05A8">
        <w:rPr>
          <w:sz w:val="22"/>
          <w:szCs w:val="22"/>
        </w:rPr>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14:paraId="5C110BC1" w14:textId="77777777" w:rsidR="00752554" w:rsidRPr="000E05A8" w:rsidRDefault="00752554" w:rsidP="00794809">
      <w:pPr>
        <w:pStyle w:val="1"/>
        <w:ind w:firstLine="709"/>
        <w:jc w:val="both"/>
        <w:rPr>
          <w:sz w:val="22"/>
          <w:szCs w:val="22"/>
        </w:rPr>
      </w:pPr>
      <w:r w:rsidRPr="000E05A8">
        <w:rPr>
          <w:sz w:val="22"/>
          <w:szCs w:val="22"/>
        </w:rPr>
        <w:t>а) вартості грошей у часі;</w:t>
      </w:r>
    </w:p>
    <w:p w14:paraId="14FCD464" w14:textId="77777777" w:rsidR="00752554" w:rsidRPr="000E05A8" w:rsidRDefault="00752554" w:rsidP="00794809">
      <w:pPr>
        <w:pStyle w:val="1"/>
        <w:ind w:firstLine="709"/>
        <w:jc w:val="both"/>
        <w:rPr>
          <w:sz w:val="22"/>
          <w:szCs w:val="22"/>
        </w:rPr>
      </w:pPr>
      <w:r w:rsidRPr="000E05A8">
        <w:rPr>
          <w:sz w:val="22"/>
          <w:szCs w:val="22"/>
        </w:rPr>
        <w:t>б) вартості джерел, які залучаються для фінансування інвестиційного проекту, які вимагають різні рівні компенсації;</w:t>
      </w:r>
    </w:p>
    <w:p w14:paraId="426CBBAC" w14:textId="77777777" w:rsidR="00752554" w:rsidRPr="000E05A8" w:rsidRDefault="00752554" w:rsidP="00794809">
      <w:pPr>
        <w:pStyle w:val="1"/>
        <w:ind w:firstLine="709"/>
        <w:jc w:val="both"/>
        <w:rPr>
          <w:sz w:val="22"/>
          <w:szCs w:val="22"/>
        </w:rPr>
      </w:pPr>
      <w:r w:rsidRPr="000E05A8">
        <w:rPr>
          <w:sz w:val="22"/>
          <w:szCs w:val="22"/>
        </w:rPr>
        <w:t>в) фактору ризику або міри ймовірності отримання очікуваних у майбутньому доходів.</w:t>
      </w:r>
    </w:p>
    <w:p w14:paraId="606889ED" w14:textId="03A913D1" w:rsidR="00752554" w:rsidRPr="000E05A8" w:rsidRDefault="00752554" w:rsidP="00794809">
      <w:pPr>
        <w:shd w:val="clear" w:color="auto" w:fill="FFFFFF"/>
        <w:ind w:firstLine="709"/>
        <w:jc w:val="both"/>
        <w:rPr>
          <w:sz w:val="22"/>
          <w:szCs w:val="22"/>
          <w:lang w:val="uk-UA"/>
        </w:rPr>
      </w:pPr>
      <w:r w:rsidRPr="000E05A8">
        <w:rPr>
          <w:sz w:val="22"/>
          <w:szCs w:val="22"/>
          <w:lang w:val="uk-UA"/>
        </w:rPr>
        <w:t xml:space="preserve"> Станом на </w:t>
      </w:r>
      <w:r w:rsidR="00980979" w:rsidRPr="000E05A8">
        <w:rPr>
          <w:sz w:val="22"/>
          <w:szCs w:val="22"/>
          <w:lang w:val="uk-UA"/>
        </w:rPr>
        <w:t>31.03.2021</w:t>
      </w:r>
      <w:r w:rsidRPr="000E05A8">
        <w:rPr>
          <w:sz w:val="22"/>
          <w:szCs w:val="22"/>
          <w:lang w:val="uk-UA"/>
        </w:rPr>
        <w:t xml:space="preserve">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w:t>
      </w:r>
      <w:r w:rsidR="00313DAD" w:rsidRPr="000E05A8">
        <w:rPr>
          <w:sz w:val="22"/>
          <w:szCs w:val="22"/>
          <w:lang w:val="uk-UA"/>
        </w:rPr>
        <w:t>4,</w:t>
      </w:r>
      <w:r w:rsidR="004E7875" w:rsidRPr="000E05A8">
        <w:rPr>
          <w:sz w:val="22"/>
          <w:szCs w:val="22"/>
          <w:lang w:val="uk-UA"/>
        </w:rPr>
        <w:t>1</w:t>
      </w:r>
      <w:r w:rsidRPr="000E05A8">
        <w:rPr>
          <w:sz w:val="22"/>
          <w:szCs w:val="22"/>
          <w:lang w:val="uk-UA"/>
        </w:rPr>
        <w:t>% річних.  Інформація, що використана для визначення середньозваженої ставки одержана з офіційного сайту НБУ за посиланням</w:t>
      </w:r>
      <w:r w:rsidR="00A9092F" w:rsidRPr="000E05A8">
        <w:rPr>
          <w:sz w:val="22"/>
          <w:szCs w:val="22"/>
          <w:lang w:val="uk-UA"/>
        </w:rPr>
        <w:t xml:space="preserve"> </w:t>
      </w:r>
      <w:r w:rsidR="00012366" w:rsidRPr="000E05A8">
        <w:rPr>
          <w:i/>
          <w:iCs/>
          <w:sz w:val="22"/>
          <w:szCs w:val="22"/>
          <w:lang w:val="uk-UA"/>
        </w:rPr>
        <w:t>https://bank.gov.ua/ua/statistic/sector-financial/data-sector-financial</w:t>
      </w:r>
      <w:r w:rsidR="00012366" w:rsidRPr="000E05A8">
        <w:rPr>
          <w:sz w:val="22"/>
          <w:szCs w:val="22"/>
          <w:lang w:val="uk-UA"/>
        </w:rPr>
        <w:t xml:space="preserve"> </w:t>
      </w:r>
      <w:r w:rsidRPr="000E05A8">
        <w:rPr>
          <w:sz w:val="22"/>
          <w:szCs w:val="22"/>
          <w:lang w:val="uk-UA"/>
        </w:rPr>
        <w:t xml:space="preserve">розділ </w:t>
      </w:r>
      <w:r w:rsidRPr="000E05A8">
        <w:rPr>
          <w:i/>
          <w:iCs/>
          <w:sz w:val="22"/>
          <w:szCs w:val="22"/>
          <w:lang w:val="uk-UA"/>
        </w:rPr>
        <w:t>“</w:t>
      </w:r>
      <w:hyperlink r:id="rId13" w:history="1">
        <w:r w:rsidR="00EC7E14" w:rsidRPr="000E05A8">
          <w:rPr>
            <w:rStyle w:val="ae"/>
            <w:i/>
            <w:iCs/>
            <w:color w:val="auto"/>
            <w:sz w:val="22"/>
            <w:szCs w:val="22"/>
            <w:shd w:val="clear" w:color="auto" w:fill="FFFFFF"/>
          </w:rPr>
          <w:t>Вартість строкових депозитів за даними статистичної звітності банків України</w:t>
        </w:r>
      </w:hyperlink>
      <w:r w:rsidRPr="000E05A8">
        <w:rPr>
          <w:i/>
          <w:iCs/>
          <w:sz w:val="22"/>
          <w:szCs w:val="22"/>
          <w:lang w:val="uk-UA"/>
        </w:rPr>
        <w:t>“.</w:t>
      </w:r>
    </w:p>
    <w:p w14:paraId="25803E23" w14:textId="77777777" w:rsidR="00752554" w:rsidRPr="000E05A8" w:rsidRDefault="00752554" w:rsidP="00794809">
      <w:pPr>
        <w:shd w:val="clear" w:color="auto" w:fill="FFFFFF"/>
        <w:ind w:firstLine="709"/>
        <w:jc w:val="both"/>
        <w:outlineLvl w:val="0"/>
        <w:rPr>
          <w:b/>
          <w:bCs/>
          <w:spacing w:val="-2"/>
          <w:sz w:val="22"/>
          <w:szCs w:val="22"/>
          <w:lang w:val="uk-UA"/>
        </w:rPr>
      </w:pPr>
    </w:p>
    <w:p w14:paraId="43DC93EA" w14:textId="77777777" w:rsidR="00752554" w:rsidRPr="000E05A8" w:rsidRDefault="00752554" w:rsidP="00794809">
      <w:pPr>
        <w:shd w:val="clear" w:color="auto" w:fill="FFFFFF"/>
        <w:ind w:firstLine="709"/>
        <w:jc w:val="both"/>
        <w:outlineLvl w:val="0"/>
        <w:rPr>
          <w:b/>
          <w:bCs/>
          <w:i/>
          <w:spacing w:val="-2"/>
          <w:sz w:val="22"/>
          <w:szCs w:val="22"/>
        </w:rPr>
      </w:pPr>
      <w:r w:rsidRPr="000E05A8">
        <w:rPr>
          <w:b/>
          <w:bCs/>
          <w:i/>
          <w:spacing w:val="-2"/>
          <w:sz w:val="22"/>
          <w:szCs w:val="22"/>
          <w:lang w:val="uk-UA"/>
        </w:rPr>
        <w:lastRenderedPageBreak/>
        <w:t>4.6. Судження щодо виявлення ознак знецінення активів</w:t>
      </w:r>
    </w:p>
    <w:p w14:paraId="002351A0" w14:textId="77777777" w:rsidR="00752554" w:rsidRPr="000E05A8" w:rsidRDefault="00752554" w:rsidP="00794809">
      <w:pPr>
        <w:pStyle w:val="StyleABC-paragrahinNotesBold1"/>
        <w:spacing w:after="0"/>
        <w:ind w:firstLine="709"/>
        <w:rPr>
          <w:rFonts w:ascii="Times New Roman" w:hAnsi="Times New Roman"/>
          <w:b w:val="0"/>
          <w:bCs w:val="0"/>
          <w:sz w:val="22"/>
          <w:szCs w:val="22"/>
          <w:lang w:val="uk-UA"/>
        </w:rPr>
      </w:pPr>
      <w:r w:rsidRPr="000E05A8">
        <w:rPr>
          <w:rFonts w:ascii="Times New Roman" w:hAnsi="Times New Roman"/>
          <w:b w:val="0"/>
          <w:sz w:val="22"/>
          <w:szCs w:val="22"/>
          <w:lang w:val="uk-UA"/>
        </w:rPr>
        <w:t xml:space="preserve">Відносно </w:t>
      </w:r>
      <w:r w:rsidRPr="000E05A8">
        <w:rPr>
          <w:rFonts w:ascii="Times New Roman" w:hAnsi="Times New Roman"/>
          <w:b w:val="0"/>
          <w:bCs w:val="0"/>
          <w:sz w:val="22"/>
          <w:szCs w:val="22"/>
          <w:lang w:val="uk-UA"/>
        </w:rPr>
        <w:t xml:space="preserve">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 </w:t>
      </w:r>
    </w:p>
    <w:p w14:paraId="65FF23E4" w14:textId="77777777" w:rsidR="00752554" w:rsidRPr="000E05A8" w:rsidRDefault="00752554" w:rsidP="00794809">
      <w:pPr>
        <w:pStyle w:val="StyleABC-paragrahinNotesBold1"/>
        <w:spacing w:after="0"/>
        <w:ind w:firstLine="709"/>
        <w:rPr>
          <w:rFonts w:ascii="Times New Roman" w:hAnsi="Times New Roman"/>
          <w:b w:val="0"/>
          <w:bCs w:val="0"/>
          <w:sz w:val="22"/>
          <w:szCs w:val="22"/>
          <w:lang w:val="uk-UA"/>
        </w:rPr>
      </w:pPr>
      <w:r w:rsidRPr="000E05A8">
        <w:rPr>
          <w:rFonts w:ascii="Times New Roman" w:hAnsi="Times New Roman"/>
          <w:b w:val="0"/>
          <w:bCs w:val="0"/>
          <w:sz w:val="22"/>
          <w:szCs w:val="22"/>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14:paraId="0810C796" w14:textId="77777777" w:rsidR="00752554" w:rsidRPr="000E05A8" w:rsidRDefault="00752554" w:rsidP="00794809">
      <w:pPr>
        <w:pStyle w:val="StyleABC-paragrahinNotesBold1"/>
        <w:spacing w:after="0"/>
        <w:ind w:firstLine="709"/>
        <w:rPr>
          <w:rFonts w:ascii="Times New Roman" w:hAnsi="Times New Roman"/>
          <w:b w:val="0"/>
          <w:bCs w:val="0"/>
          <w:sz w:val="22"/>
          <w:szCs w:val="22"/>
          <w:lang w:val="uk-UA"/>
        </w:rPr>
      </w:pPr>
      <w:r w:rsidRPr="000E05A8">
        <w:rPr>
          <w:rFonts w:ascii="Times New Roman" w:hAnsi="Times New Roman"/>
          <w:b w:val="0"/>
          <w:bCs w:val="0"/>
          <w:sz w:val="22"/>
          <w:szCs w:val="22"/>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06C57A9F" w14:textId="77777777" w:rsidR="00752554" w:rsidRPr="000E05A8" w:rsidRDefault="00752554" w:rsidP="00794809">
      <w:pPr>
        <w:pStyle w:val="Default"/>
        <w:ind w:firstLine="709"/>
        <w:jc w:val="both"/>
        <w:rPr>
          <w:color w:val="auto"/>
          <w:sz w:val="22"/>
          <w:szCs w:val="22"/>
        </w:rPr>
      </w:pPr>
      <w:r w:rsidRPr="000E05A8">
        <w:rPr>
          <w:color w:val="auto"/>
          <w:sz w:val="22"/>
          <w:szCs w:val="22"/>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14:paraId="60FDD0EB" w14:textId="77777777" w:rsidR="00752554" w:rsidRPr="000E05A8" w:rsidRDefault="00752554" w:rsidP="00794809">
      <w:pPr>
        <w:pStyle w:val="Default"/>
        <w:ind w:firstLine="709"/>
        <w:jc w:val="both"/>
        <w:rPr>
          <w:color w:val="auto"/>
          <w:sz w:val="22"/>
          <w:szCs w:val="22"/>
        </w:rPr>
      </w:pPr>
      <w:r w:rsidRPr="000E05A8">
        <w:rPr>
          <w:color w:val="auto"/>
          <w:sz w:val="22"/>
          <w:szCs w:val="22"/>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0444B931" w14:textId="77777777" w:rsidR="00752554" w:rsidRPr="000E05A8" w:rsidRDefault="00752554" w:rsidP="00794809">
      <w:pPr>
        <w:pStyle w:val="Default"/>
        <w:ind w:firstLine="709"/>
        <w:jc w:val="both"/>
        <w:rPr>
          <w:color w:val="auto"/>
          <w:sz w:val="22"/>
          <w:szCs w:val="22"/>
        </w:rPr>
      </w:pPr>
      <w:r w:rsidRPr="000E05A8">
        <w:rPr>
          <w:color w:val="auto"/>
          <w:sz w:val="22"/>
          <w:szCs w:val="22"/>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5B813CE7" w14:textId="77777777" w:rsidR="00752554" w:rsidRPr="000E05A8" w:rsidRDefault="00752554" w:rsidP="00794809">
      <w:pPr>
        <w:pStyle w:val="Default"/>
        <w:ind w:firstLine="709"/>
        <w:jc w:val="both"/>
        <w:rPr>
          <w:color w:val="auto"/>
          <w:sz w:val="22"/>
          <w:szCs w:val="22"/>
        </w:rPr>
      </w:pPr>
      <w:r w:rsidRPr="000E05A8">
        <w:rPr>
          <w:color w:val="auto"/>
          <w:sz w:val="22"/>
          <w:szCs w:val="22"/>
        </w:rPr>
        <w:t>Очікувані кредитні збитки відображають власні очікування Товариства щодо кредитних збитків.</w:t>
      </w:r>
    </w:p>
    <w:p w14:paraId="19DDF833" w14:textId="77777777" w:rsidR="004713AE" w:rsidRPr="000E05A8" w:rsidRDefault="004713AE" w:rsidP="00794809">
      <w:pPr>
        <w:shd w:val="clear" w:color="auto" w:fill="FFFFFF"/>
        <w:ind w:firstLine="709"/>
        <w:jc w:val="both"/>
        <w:rPr>
          <w:b/>
          <w:bCs/>
          <w:spacing w:val="-2"/>
          <w:sz w:val="22"/>
          <w:szCs w:val="22"/>
          <w:lang w:val="uk-UA"/>
        </w:rPr>
      </w:pPr>
    </w:p>
    <w:p w14:paraId="105CD28B"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 xml:space="preserve">5. Розкриття інформації щодо використання справедливої вартості </w:t>
      </w:r>
    </w:p>
    <w:p w14:paraId="7FD07E0E"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 xml:space="preserve">5.1. Методики оцінювання та вхідні дані, використані для складання оцінок </w:t>
      </w:r>
      <w:r w:rsidRPr="000E05A8">
        <w:rPr>
          <w:b/>
          <w:bCs/>
          <w:i/>
          <w:sz w:val="22"/>
          <w:szCs w:val="22"/>
          <w:lang w:val="uk-UA" w:eastAsia="uk-UA"/>
        </w:rPr>
        <w:t xml:space="preserve">за </w:t>
      </w:r>
      <w:r w:rsidRPr="000E05A8">
        <w:rPr>
          <w:b/>
          <w:bCs/>
          <w:i/>
          <w:spacing w:val="-2"/>
          <w:sz w:val="22"/>
          <w:szCs w:val="22"/>
          <w:lang w:val="uk-UA"/>
        </w:rPr>
        <w:t>справедливою вартістю</w:t>
      </w:r>
    </w:p>
    <w:p w14:paraId="7C80D7F1" w14:textId="6C22A4DA"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p w14:paraId="081B30CA" w14:textId="77777777" w:rsidR="00F4548A" w:rsidRPr="000E05A8" w:rsidRDefault="00F4548A" w:rsidP="00794809">
      <w:pPr>
        <w:shd w:val="clear" w:color="auto" w:fill="FFFFFF"/>
        <w:autoSpaceDE w:val="0"/>
        <w:autoSpaceDN w:val="0"/>
        <w:adjustRightInd w:val="0"/>
        <w:ind w:firstLine="709"/>
        <w:jc w:val="both"/>
        <w:rPr>
          <w:sz w:val="22"/>
          <w:szCs w:val="22"/>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2693"/>
      </w:tblGrid>
      <w:tr w:rsidR="00752554" w:rsidRPr="000E05A8" w14:paraId="6285FC71" w14:textId="77777777" w:rsidTr="00996618">
        <w:tc>
          <w:tcPr>
            <w:tcW w:w="2179" w:type="dxa"/>
          </w:tcPr>
          <w:p w14:paraId="75E9384D" w14:textId="77777777" w:rsidR="00752554" w:rsidRPr="000E05A8" w:rsidRDefault="00752554" w:rsidP="00794809">
            <w:pPr>
              <w:autoSpaceDE w:val="0"/>
              <w:autoSpaceDN w:val="0"/>
              <w:adjustRightInd w:val="0"/>
              <w:jc w:val="both"/>
              <w:rPr>
                <w:sz w:val="20"/>
                <w:szCs w:val="20"/>
                <w:lang w:val="uk-UA"/>
              </w:rPr>
            </w:pPr>
            <w:r w:rsidRPr="000E05A8">
              <w:rPr>
                <w:bCs/>
                <w:sz w:val="20"/>
                <w:szCs w:val="20"/>
                <w:lang w:val="uk-UA" w:eastAsia="uk-UA"/>
              </w:rPr>
              <w:t>Класи активів та зобов’язань, оцінених за справедливою вартістю</w:t>
            </w:r>
          </w:p>
        </w:tc>
        <w:tc>
          <w:tcPr>
            <w:tcW w:w="3518" w:type="dxa"/>
          </w:tcPr>
          <w:p w14:paraId="0F21D6A4" w14:textId="77777777" w:rsidR="00752554" w:rsidRPr="000E05A8" w:rsidRDefault="00752554" w:rsidP="00794809">
            <w:pPr>
              <w:autoSpaceDE w:val="0"/>
              <w:autoSpaceDN w:val="0"/>
              <w:adjustRightInd w:val="0"/>
              <w:ind w:firstLine="709"/>
              <w:jc w:val="both"/>
              <w:rPr>
                <w:bCs/>
                <w:sz w:val="20"/>
                <w:szCs w:val="20"/>
                <w:lang w:val="uk-UA" w:eastAsia="uk-UA"/>
              </w:rPr>
            </w:pPr>
          </w:p>
          <w:p w14:paraId="2033FE03" w14:textId="77777777" w:rsidR="00752554" w:rsidRPr="000E05A8" w:rsidRDefault="00752554" w:rsidP="00794809">
            <w:pPr>
              <w:autoSpaceDE w:val="0"/>
              <w:autoSpaceDN w:val="0"/>
              <w:adjustRightInd w:val="0"/>
              <w:ind w:firstLine="709"/>
              <w:jc w:val="both"/>
              <w:rPr>
                <w:bCs/>
                <w:sz w:val="20"/>
                <w:szCs w:val="20"/>
                <w:lang w:val="uk-UA" w:eastAsia="uk-UA"/>
              </w:rPr>
            </w:pPr>
            <w:r w:rsidRPr="000E05A8">
              <w:rPr>
                <w:bCs/>
                <w:sz w:val="20"/>
                <w:szCs w:val="20"/>
                <w:lang w:val="uk-UA" w:eastAsia="uk-UA"/>
              </w:rPr>
              <w:t>Методики оцінювання</w:t>
            </w:r>
          </w:p>
        </w:tc>
        <w:tc>
          <w:tcPr>
            <w:tcW w:w="1499" w:type="dxa"/>
          </w:tcPr>
          <w:p w14:paraId="05A487EB" w14:textId="77777777" w:rsidR="00752554" w:rsidRPr="000E05A8" w:rsidRDefault="00752554" w:rsidP="00794809">
            <w:pPr>
              <w:autoSpaceDE w:val="0"/>
              <w:autoSpaceDN w:val="0"/>
              <w:adjustRightInd w:val="0"/>
              <w:jc w:val="both"/>
              <w:rPr>
                <w:bCs/>
                <w:sz w:val="20"/>
                <w:szCs w:val="20"/>
                <w:lang w:val="uk-UA" w:eastAsia="uk-UA"/>
              </w:rPr>
            </w:pPr>
            <w:r w:rsidRPr="000E05A8">
              <w:rPr>
                <w:bCs/>
                <w:sz w:val="20"/>
                <w:szCs w:val="20"/>
                <w:lang w:val="uk-UA" w:eastAsia="uk-UA"/>
              </w:rPr>
              <w:t>Метод оцінки (ринковий, дохідний, витратний)</w:t>
            </w:r>
          </w:p>
        </w:tc>
        <w:tc>
          <w:tcPr>
            <w:tcW w:w="2693" w:type="dxa"/>
          </w:tcPr>
          <w:p w14:paraId="13FEF926" w14:textId="77777777" w:rsidR="00752554" w:rsidRPr="000E05A8" w:rsidRDefault="00752554" w:rsidP="00794809">
            <w:pPr>
              <w:autoSpaceDE w:val="0"/>
              <w:autoSpaceDN w:val="0"/>
              <w:adjustRightInd w:val="0"/>
              <w:ind w:firstLine="709"/>
              <w:jc w:val="both"/>
              <w:rPr>
                <w:bCs/>
                <w:sz w:val="20"/>
                <w:szCs w:val="20"/>
                <w:lang w:val="uk-UA" w:eastAsia="uk-UA"/>
              </w:rPr>
            </w:pPr>
          </w:p>
          <w:p w14:paraId="37A8D1D0" w14:textId="77777777" w:rsidR="00752554" w:rsidRPr="000E05A8" w:rsidRDefault="00752554" w:rsidP="00794809">
            <w:pPr>
              <w:autoSpaceDE w:val="0"/>
              <w:autoSpaceDN w:val="0"/>
              <w:adjustRightInd w:val="0"/>
              <w:ind w:firstLine="709"/>
              <w:jc w:val="both"/>
              <w:rPr>
                <w:bCs/>
                <w:sz w:val="20"/>
                <w:szCs w:val="20"/>
                <w:lang w:val="uk-UA" w:eastAsia="uk-UA"/>
              </w:rPr>
            </w:pPr>
            <w:r w:rsidRPr="000E05A8">
              <w:rPr>
                <w:bCs/>
                <w:sz w:val="20"/>
                <w:szCs w:val="20"/>
                <w:lang w:val="uk-UA" w:eastAsia="uk-UA"/>
              </w:rPr>
              <w:t>Вхідні дані</w:t>
            </w:r>
          </w:p>
        </w:tc>
      </w:tr>
      <w:tr w:rsidR="00752554" w:rsidRPr="000E05A8" w14:paraId="3FEA07D3" w14:textId="77777777" w:rsidTr="00996618">
        <w:tc>
          <w:tcPr>
            <w:tcW w:w="2179" w:type="dxa"/>
          </w:tcPr>
          <w:p w14:paraId="493259C3" w14:textId="77777777" w:rsidR="00752554" w:rsidRPr="000E05A8" w:rsidRDefault="00752554" w:rsidP="00794809">
            <w:pPr>
              <w:autoSpaceDE w:val="0"/>
              <w:autoSpaceDN w:val="0"/>
              <w:adjustRightInd w:val="0"/>
              <w:jc w:val="both"/>
              <w:rPr>
                <w:sz w:val="20"/>
                <w:szCs w:val="20"/>
                <w:lang w:val="uk-UA"/>
              </w:rPr>
            </w:pPr>
            <w:r w:rsidRPr="000E05A8">
              <w:rPr>
                <w:sz w:val="20"/>
                <w:szCs w:val="20"/>
                <w:lang w:val="uk-UA" w:eastAsia="uk-UA"/>
              </w:rPr>
              <w:t xml:space="preserve">Грошові кошти </w:t>
            </w:r>
          </w:p>
        </w:tc>
        <w:tc>
          <w:tcPr>
            <w:tcW w:w="3518" w:type="dxa"/>
          </w:tcPr>
          <w:p w14:paraId="2BAA5818" w14:textId="77777777" w:rsidR="00752554" w:rsidRPr="000E05A8" w:rsidRDefault="00752554" w:rsidP="00794809">
            <w:pPr>
              <w:autoSpaceDE w:val="0"/>
              <w:autoSpaceDN w:val="0"/>
              <w:adjustRightInd w:val="0"/>
              <w:jc w:val="both"/>
              <w:rPr>
                <w:sz w:val="20"/>
                <w:szCs w:val="20"/>
                <w:lang w:val="uk-UA"/>
              </w:rPr>
            </w:pPr>
            <w:r w:rsidRPr="000E05A8">
              <w:rPr>
                <w:sz w:val="20"/>
                <w:szCs w:val="20"/>
                <w:lang w:val="uk-UA" w:eastAsia="uk-UA"/>
              </w:rPr>
              <w:t>Первісна та подальша оцінка грошових коштів здійснюється за справедливою вартістю, яка дорівнює їх номінальній вартості</w:t>
            </w:r>
          </w:p>
        </w:tc>
        <w:tc>
          <w:tcPr>
            <w:tcW w:w="1499" w:type="dxa"/>
          </w:tcPr>
          <w:p w14:paraId="41026AC8" w14:textId="77777777" w:rsidR="00752554" w:rsidRPr="000E05A8" w:rsidRDefault="00752554" w:rsidP="00794809">
            <w:pPr>
              <w:autoSpaceDE w:val="0"/>
              <w:autoSpaceDN w:val="0"/>
              <w:adjustRightInd w:val="0"/>
              <w:jc w:val="both"/>
              <w:rPr>
                <w:sz w:val="20"/>
                <w:szCs w:val="20"/>
                <w:lang w:val="uk-UA"/>
              </w:rPr>
            </w:pPr>
            <w:r w:rsidRPr="000E05A8">
              <w:rPr>
                <w:sz w:val="20"/>
                <w:szCs w:val="20"/>
                <w:lang w:val="uk-UA" w:eastAsia="uk-UA"/>
              </w:rPr>
              <w:t>Ринковий</w:t>
            </w:r>
          </w:p>
        </w:tc>
        <w:tc>
          <w:tcPr>
            <w:tcW w:w="2693" w:type="dxa"/>
          </w:tcPr>
          <w:p w14:paraId="14C7613C" w14:textId="77777777" w:rsidR="00752554" w:rsidRPr="000E05A8" w:rsidRDefault="00752554" w:rsidP="00794809">
            <w:pPr>
              <w:autoSpaceDE w:val="0"/>
              <w:autoSpaceDN w:val="0"/>
              <w:adjustRightInd w:val="0"/>
              <w:jc w:val="both"/>
              <w:rPr>
                <w:sz w:val="20"/>
                <w:szCs w:val="20"/>
                <w:lang w:val="uk-UA"/>
              </w:rPr>
            </w:pPr>
            <w:r w:rsidRPr="000E05A8">
              <w:rPr>
                <w:sz w:val="20"/>
                <w:szCs w:val="20"/>
                <w:lang w:val="uk-UA" w:eastAsia="uk-UA"/>
              </w:rPr>
              <w:t>Офіційні курси НБУ</w:t>
            </w:r>
          </w:p>
        </w:tc>
      </w:tr>
      <w:tr w:rsidR="00752554" w:rsidRPr="000E05A8" w14:paraId="7DB412E7" w14:textId="77777777" w:rsidTr="00996618">
        <w:tc>
          <w:tcPr>
            <w:tcW w:w="2179" w:type="dxa"/>
          </w:tcPr>
          <w:p w14:paraId="103AF901" w14:textId="008C0085" w:rsidR="00752554" w:rsidRPr="000E05A8" w:rsidRDefault="00875372" w:rsidP="004713AE">
            <w:pPr>
              <w:autoSpaceDE w:val="0"/>
              <w:autoSpaceDN w:val="0"/>
              <w:adjustRightInd w:val="0"/>
              <w:rPr>
                <w:sz w:val="20"/>
                <w:szCs w:val="20"/>
                <w:lang w:val="uk-UA" w:eastAsia="uk-UA"/>
              </w:rPr>
            </w:pPr>
            <w:r w:rsidRPr="000E05A8">
              <w:rPr>
                <w:sz w:val="20"/>
                <w:szCs w:val="20"/>
                <w:lang w:val="uk-UA" w:eastAsia="uk-UA"/>
              </w:rPr>
              <w:t xml:space="preserve">Боргові цінні папери: </w:t>
            </w:r>
            <w:r w:rsidR="00137673" w:rsidRPr="000E05A8">
              <w:rPr>
                <w:sz w:val="20"/>
                <w:szCs w:val="20"/>
                <w:lang w:val="uk-UA" w:eastAsia="uk-UA"/>
              </w:rPr>
              <w:t>ОЗДП</w:t>
            </w:r>
          </w:p>
        </w:tc>
        <w:tc>
          <w:tcPr>
            <w:tcW w:w="3518" w:type="dxa"/>
          </w:tcPr>
          <w:p w14:paraId="416F5C8D" w14:textId="77777777" w:rsidR="00752554" w:rsidRPr="000E05A8" w:rsidRDefault="00752554" w:rsidP="00794809">
            <w:pPr>
              <w:autoSpaceDE w:val="0"/>
              <w:autoSpaceDN w:val="0"/>
              <w:adjustRightInd w:val="0"/>
              <w:jc w:val="both"/>
              <w:rPr>
                <w:sz w:val="20"/>
                <w:szCs w:val="20"/>
                <w:lang w:val="uk-UA" w:eastAsia="uk-UA"/>
              </w:rPr>
            </w:pPr>
            <w:r w:rsidRPr="000E05A8">
              <w:rPr>
                <w:sz w:val="20"/>
                <w:szCs w:val="20"/>
                <w:lang w:val="uk-UA" w:eastAsia="uk-UA"/>
              </w:rPr>
              <w:t>Первісна оцінка фінансових інструментів  здійснюється за їх справедливою вартістю, яка зазвичай дорівнює ціні операції, в ході якої був отриманий актив. Подальша оцінка фінансових інструментів  здійснюється за справедливою вартістю на дату оцінки.</w:t>
            </w:r>
          </w:p>
        </w:tc>
        <w:tc>
          <w:tcPr>
            <w:tcW w:w="1499" w:type="dxa"/>
          </w:tcPr>
          <w:p w14:paraId="01A4C836" w14:textId="77777777" w:rsidR="00C61CF3" w:rsidRPr="000E05A8" w:rsidRDefault="004D5BAD" w:rsidP="00794809">
            <w:pPr>
              <w:autoSpaceDE w:val="0"/>
              <w:autoSpaceDN w:val="0"/>
              <w:adjustRightInd w:val="0"/>
              <w:jc w:val="both"/>
              <w:rPr>
                <w:sz w:val="20"/>
                <w:szCs w:val="20"/>
                <w:lang w:val="uk-UA" w:eastAsia="uk-UA"/>
              </w:rPr>
            </w:pPr>
            <w:r w:rsidRPr="000E05A8">
              <w:rPr>
                <w:sz w:val="20"/>
                <w:szCs w:val="20"/>
                <w:lang w:val="uk-UA" w:eastAsia="uk-UA"/>
              </w:rPr>
              <w:t>Ринковий</w:t>
            </w:r>
            <w:r w:rsidR="00C61CF3" w:rsidRPr="000E05A8">
              <w:rPr>
                <w:sz w:val="20"/>
                <w:szCs w:val="20"/>
                <w:lang w:val="uk-UA" w:eastAsia="uk-UA"/>
              </w:rPr>
              <w:t>,</w:t>
            </w:r>
          </w:p>
          <w:p w14:paraId="683E681C" w14:textId="2751A146" w:rsidR="00752554" w:rsidRPr="000E05A8" w:rsidRDefault="003B4ACE" w:rsidP="00794809">
            <w:pPr>
              <w:autoSpaceDE w:val="0"/>
              <w:autoSpaceDN w:val="0"/>
              <w:adjustRightInd w:val="0"/>
              <w:jc w:val="both"/>
              <w:rPr>
                <w:sz w:val="20"/>
                <w:szCs w:val="20"/>
                <w:lang w:val="uk-UA" w:eastAsia="uk-UA"/>
              </w:rPr>
            </w:pPr>
            <w:r w:rsidRPr="000E05A8">
              <w:rPr>
                <w:sz w:val="20"/>
                <w:szCs w:val="20"/>
                <w:lang w:val="uk-UA" w:eastAsia="uk-UA"/>
              </w:rPr>
              <w:t>Дохідний</w:t>
            </w:r>
          </w:p>
        </w:tc>
        <w:tc>
          <w:tcPr>
            <w:tcW w:w="2693" w:type="dxa"/>
          </w:tcPr>
          <w:p w14:paraId="7C01D72D" w14:textId="44758A03" w:rsidR="004536ED" w:rsidRPr="000E05A8" w:rsidRDefault="004536ED" w:rsidP="004536ED">
            <w:pPr>
              <w:autoSpaceDE w:val="0"/>
              <w:autoSpaceDN w:val="0"/>
              <w:adjustRightInd w:val="0"/>
              <w:jc w:val="both"/>
              <w:rPr>
                <w:sz w:val="20"/>
                <w:szCs w:val="20"/>
                <w:lang w:val="uk-UA" w:eastAsia="uk-UA"/>
              </w:rPr>
            </w:pPr>
            <w:r w:rsidRPr="000E05A8">
              <w:rPr>
                <w:sz w:val="20"/>
                <w:szCs w:val="20"/>
                <w:lang w:val="uk-UA" w:eastAsia="uk-UA"/>
              </w:rPr>
              <w:t>Інформація щодо цін на організованому ринку</w:t>
            </w:r>
            <w:r w:rsidR="00FB6504" w:rsidRPr="000E05A8">
              <w:rPr>
                <w:sz w:val="20"/>
                <w:szCs w:val="20"/>
                <w:lang w:val="uk-UA" w:eastAsia="uk-UA"/>
              </w:rPr>
              <w:t>.</w:t>
            </w:r>
          </w:p>
          <w:p w14:paraId="3D2CE0AD" w14:textId="773EEF76" w:rsidR="00B50CB5" w:rsidRPr="000E05A8" w:rsidRDefault="008B1ED5" w:rsidP="00FB6504">
            <w:pPr>
              <w:autoSpaceDE w:val="0"/>
              <w:autoSpaceDN w:val="0"/>
              <w:adjustRightInd w:val="0"/>
              <w:jc w:val="both"/>
              <w:rPr>
                <w:color w:val="FF0000"/>
                <w:sz w:val="20"/>
                <w:szCs w:val="20"/>
                <w:lang w:val="uk-UA" w:eastAsia="uk-UA"/>
              </w:rPr>
            </w:pPr>
            <w:r w:rsidRPr="000E05A8">
              <w:rPr>
                <w:sz w:val="20"/>
                <w:szCs w:val="20"/>
                <w:lang w:val="uk-UA" w:eastAsia="uk-UA"/>
              </w:rPr>
              <w:t>Також прийняття рішення залежить від умов випуску та умов придб</w:t>
            </w:r>
            <w:r w:rsidR="00FB6504" w:rsidRPr="000E05A8">
              <w:rPr>
                <w:sz w:val="20"/>
                <w:szCs w:val="20"/>
                <w:lang w:val="uk-UA" w:eastAsia="uk-UA"/>
              </w:rPr>
              <w:t>а</w:t>
            </w:r>
            <w:r w:rsidRPr="000E05A8">
              <w:rPr>
                <w:sz w:val="20"/>
                <w:szCs w:val="20"/>
                <w:lang w:val="uk-UA" w:eastAsia="uk-UA"/>
              </w:rPr>
              <w:t>ння облігацій</w:t>
            </w:r>
            <w:r w:rsidR="00FB6504" w:rsidRPr="000E05A8">
              <w:rPr>
                <w:sz w:val="20"/>
                <w:szCs w:val="20"/>
                <w:lang w:val="uk-UA" w:eastAsia="uk-UA"/>
              </w:rPr>
              <w:t>.</w:t>
            </w:r>
          </w:p>
        </w:tc>
      </w:tr>
    </w:tbl>
    <w:p w14:paraId="004621C1" w14:textId="77777777" w:rsidR="00752554" w:rsidRPr="000E05A8" w:rsidRDefault="00752554" w:rsidP="00794809">
      <w:pPr>
        <w:shd w:val="clear" w:color="auto" w:fill="FFFFFF"/>
        <w:autoSpaceDE w:val="0"/>
        <w:autoSpaceDN w:val="0"/>
        <w:adjustRightInd w:val="0"/>
        <w:ind w:firstLine="709"/>
        <w:jc w:val="both"/>
        <w:rPr>
          <w:sz w:val="22"/>
          <w:szCs w:val="22"/>
          <w:lang w:val="uk-UA"/>
        </w:rPr>
      </w:pPr>
    </w:p>
    <w:p w14:paraId="1D89AA14"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5.2. Рівень ієрархії справедливої вартості, до якого належать оцінки справедливої вартості</w:t>
      </w:r>
    </w:p>
    <w:p w14:paraId="454E8740" w14:textId="00184A0E" w:rsidR="00752554" w:rsidRPr="000E05A8" w:rsidRDefault="00752554" w:rsidP="00794809">
      <w:pPr>
        <w:shd w:val="clear" w:color="auto" w:fill="FFFFFF"/>
        <w:ind w:firstLine="709"/>
        <w:jc w:val="both"/>
        <w:rPr>
          <w:bCs/>
          <w:spacing w:val="-2"/>
          <w:sz w:val="22"/>
          <w:szCs w:val="22"/>
          <w:lang w:val="uk-UA"/>
        </w:rPr>
      </w:pPr>
      <w:r w:rsidRPr="000E05A8">
        <w:rPr>
          <w:bCs/>
          <w:spacing w:val="-2"/>
          <w:sz w:val="22"/>
          <w:szCs w:val="22"/>
          <w:lang w:val="uk-UA"/>
        </w:rPr>
        <w:t>Товариство є новоствореним і планує  використовувати  3 рівні  ієрархії справедливої вартості.</w:t>
      </w:r>
    </w:p>
    <w:p w14:paraId="3EDDA3EC" w14:textId="7C0435E3" w:rsidR="00F4548A" w:rsidRPr="000E05A8" w:rsidRDefault="00F4548A" w:rsidP="00F4548A">
      <w:pPr>
        <w:shd w:val="clear" w:color="auto" w:fill="FFFFFF"/>
        <w:ind w:firstLine="709"/>
        <w:jc w:val="right"/>
        <w:rPr>
          <w:bCs/>
          <w:spacing w:val="-2"/>
          <w:sz w:val="22"/>
          <w:szCs w:val="22"/>
          <w:lang w:val="uk-UA"/>
        </w:rPr>
      </w:pPr>
      <w:r w:rsidRPr="000E05A8">
        <w:rPr>
          <w:bCs/>
          <w:spacing w:val="-2"/>
          <w:sz w:val="22"/>
          <w:szCs w:val="22"/>
          <w:lang w:val="uk-UA"/>
        </w:rPr>
        <w:t>(тис.грн)</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1959"/>
        <w:gridCol w:w="1959"/>
        <w:gridCol w:w="2327"/>
        <w:gridCol w:w="1731"/>
      </w:tblGrid>
      <w:tr w:rsidR="00752554" w:rsidRPr="000E05A8" w14:paraId="24A60C4F" w14:textId="77777777" w:rsidTr="000E05A8">
        <w:trPr>
          <w:trHeight w:val="557"/>
        </w:trPr>
        <w:tc>
          <w:tcPr>
            <w:tcW w:w="1759" w:type="dxa"/>
            <w:vMerge w:val="restart"/>
            <w:shd w:val="clear" w:color="auto" w:fill="FFFFFF"/>
          </w:tcPr>
          <w:p w14:paraId="70A77D23" w14:textId="77777777" w:rsidR="00752554" w:rsidRPr="000E05A8" w:rsidRDefault="00752554" w:rsidP="006F359E">
            <w:pPr>
              <w:jc w:val="center"/>
              <w:rPr>
                <w:bCs/>
                <w:sz w:val="20"/>
                <w:szCs w:val="20"/>
              </w:rPr>
            </w:pPr>
            <w:r w:rsidRPr="000E05A8">
              <w:rPr>
                <w:bCs/>
                <w:sz w:val="20"/>
                <w:szCs w:val="20"/>
                <w:lang w:val="uk-UA" w:eastAsia="uk-UA"/>
              </w:rPr>
              <w:t xml:space="preserve">Класи активів та зобов’язань, </w:t>
            </w:r>
            <w:r w:rsidRPr="000E05A8">
              <w:rPr>
                <w:bCs/>
                <w:sz w:val="20"/>
                <w:szCs w:val="20"/>
                <w:lang w:val="uk-UA" w:eastAsia="uk-UA"/>
              </w:rPr>
              <w:lastRenderedPageBreak/>
              <w:t>оцінених за справедливою вартістю</w:t>
            </w:r>
          </w:p>
        </w:tc>
        <w:tc>
          <w:tcPr>
            <w:tcW w:w="1959" w:type="dxa"/>
            <w:shd w:val="clear" w:color="auto" w:fill="FFFFFF"/>
          </w:tcPr>
          <w:p w14:paraId="64788E37" w14:textId="77777777" w:rsidR="00752554" w:rsidRPr="000E05A8" w:rsidRDefault="00752554" w:rsidP="006F359E">
            <w:pPr>
              <w:jc w:val="center"/>
              <w:rPr>
                <w:bCs/>
                <w:sz w:val="20"/>
                <w:szCs w:val="20"/>
              </w:rPr>
            </w:pPr>
            <w:r w:rsidRPr="000E05A8">
              <w:rPr>
                <w:bCs/>
                <w:sz w:val="20"/>
                <w:szCs w:val="20"/>
                <w:lang w:val="uk-UA" w:eastAsia="uk-UA"/>
              </w:rPr>
              <w:lastRenderedPageBreak/>
              <w:t>1 рівень</w:t>
            </w:r>
          </w:p>
        </w:tc>
        <w:tc>
          <w:tcPr>
            <w:tcW w:w="1959" w:type="dxa"/>
            <w:shd w:val="clear" w:color="auto" w:fill="FFFFFF"/>
          </w:tcPr>
          <w:p w14:paraId="7FF4C066" w14:textId="77777777" w:rsidR="00752554" w:rsidRPr="000E05A8" w:rsidRDefault="00752554" w:rsidP="006F359E">
            <w:pPr>
              <w:jc w:val="center"/>
              <w:rPr>
                <w:bCs/>
                <w:sz w:val="20"/>
                <w:szCs w:val="20"/>
              </w:rPr>
            </w:pPr>
            <w:r w:rsidRPr="000E05A8">
              <w:rPr>
                <w:bCs/>
                <w:sz w:val="20"/>
                <w:szCs w:val="20"/>
                <w:lang w:val="uk-UA" w:eastAsia="uk-UA"/>
              </w:rPr>
              <w:t>2 рівень</w:t>
            </w:r>
          </w:p>
        </w:tc>
        <w:tc>
          <w:tcPr>
            <w:tcW w:w="2327" w:type="dxa"/>
            <w:shd w:val="clear" w:color="auto" w:fill="FFFFFF"/>
          </w:tcPr>
          <w:p w14:paraId="6B8602E3" w14:textId="77777777" w:rsidR="00752554" w:rsidRPr="000E05A8" w:rsidRDefault="00752554" w:rsidP="006F359E">
            <w:pPr>
              <w:jc w:val="center"/>
              <w:rPr>
                <w:bCs/>
                <w:sz w:val="20"/>
                <w:szCs w:val="20"/>
              </w:rPr>
            </w:pPr>
            <w:r w:rsidRPr="000E05A8">
              <w:rPr>
                <w:bCs/>
                <w:sz w:val="20"/>
                <w:szCs w:val="20"/>
                <w:lang w:val="uk-UA" w:eastAsia="uk-UA"/>
              </w:rPr>
              <w:t>3 рівень</w:t>
            </w:r>
          </w:p>
        </w:tc>
        <w:tc>
          <w:tcPr>
            <w:tcW w:w="1731" w:type="dxa"/>
            <w:vMerge w:val="restart"/>
            <w:shd w:val="clear" w:color="auto" w:fill="FFFFFF"/>
          </w:tcPr>
          <w:p w14:paraId="0F29A5CB" w14:textId="77777777" w:rsidR="00752554" w:rsidRPr="000E05A8" w:rsidRDefault="00752554" w:rsidP="006F359E">
            <w:pPr>
              <w:jc w:val="center"/>
              <w:rPr>
                <w:bCs/>
                <w:sz w:val="20"/>
                <w:szCs w:val="20"/>
              </w:rPr>
            </w:pPr>
            <w:r w:rsidRPr="000E05A8">
              <w:rPr>
                <w:bCs/>
                <w:sz w:val="20"/>
                <w:szCs w:val="20"/>
                <w:lang w:val="uk-UA"/>
              </w:rPr>
              <w:t> </w:t>
            </w:r>
          </w:p>
          <w:p w14:paraId="4BCA22CE" w14:textId="7F4D39BC" w:rsidR="00752554" w:rsidRPr="000E05A8" w:rsidRDefault="00752554" w:rsidP="006F359E">
            <w:pPr>
              <w:jc w:val="center"/>
              <w:rPr>
                <w:bCs/>
                <w:sz w:val="20"/>
                <w:szCs w:val="20"/>
              </w:rPr>
            </w:pPr>
            <w:r w:rsidRPr="000E05A8">
              <w:rPr>
                <w:bCs/>
                <w:sz w:val="20"/>
                <w:szCs w:val="20"/>
                <w:lang w:val="uk-UA"/>
              </w:rPr>
              <w:t>Усього</w:t>
            </w:r>
          </w:p>
        </w:tc>
      </w:tr>
      <w:tr w:rsidR="00752554" w:rsidRPr="000E05A8" w14:paraId="3A9EAE22" w14:textId="77777777" w:rsidTr="000E05A8">
        <w:trPr>
          <w:trHeight w:val="737"/>
        </w:trPr>
        <w:tc>
          <w:tcPr>
            <w:tcW w:w="1759" w:type="dxa"/>
            <w:vMerge/>
            <w:vAlign w:val="center"/>
          </w:tcPr>
          <w:p w14:paraId="1132F384" w14:textId="77777777" w:rsidR="00752554" w:rsidRPr="000E05A8" w:rsidRDefault="00752554" w:rsidP="006F359E">
            <w:pPr>
              <w:rPr>
                <w:bCs/>
                <w:sz w:val="20"/>
                <w:szCs w:val="20"/>
              </w:rPr>
            </w:pPr>
          </w:p>
        </w:tc>
        <w:tc>
          <w:tcPr>
            <w:tcW w:w="1959" w:type="dxa"/>
            <w:shd w:val="clear" w:color="auto" w:fill="FFFFFF"/>
          </w:tcPr>
          <w:p w14:paraId="6AB4C6FF" w14:textId="489442F8" w:rsidR="00752554" w:rsidRPr="000E05A8" w:rsidRDefault="00752554" w:rsidP="006F359E">
            <w:pPr>
              <w:jc w:val="center"/>
              <w:rPr>
                <w:bCs/>
                <w:sz w:val="20"/>
                <w:szCs w:val="20"/>
              </w:rPr>
            </w:pPr>
            <w:r w:rsidRPr="000E05A8">
              <w:rPr>
                <w:bCs/>
                <w:sz w:val="20"/>
                <w:szCs w:val="20"/>
                <w:lang w:val="uk-UA" w:eastAsia="uk-UA"/>
              </w:rPr>
              <w:t>(ті, що мають котирування, та спостережувані</w:t>
            </w:r>
          </w:p>
        </w:tc>
        <w:tc>
          <w:tcPr>
            <w:tcW w:w="1959" w:type="dxa"/>
            <w:shd w:val="clear" w:color="auto" w:fill="FFFFFF"/>
          </w:tcPr>
          <w:p w14:paraId="34431FBF" w14:textId="5085CF13" w:rsidR="00F4548A" w:rsidRPr="000E05A8" w:rsidRDefault="00752554" w:rsidP="00F4548A">
            <w:pPr>
              <w:jc w:val="center"/>
              <w:rPr>
                <w:bCs/>
                <w:sz w:val="20"/>
                <w:szCs w:val="20"/>
              </w:rPr>
            </w:pPr>
            <w:r w:rsidRPr="000E05A8">
              <w:rPr>
                <w:bCs/>
                <w:sz w:val="20"/>
                <w:szCs w:val="20"/>
                <w:lang w:val="uk-UA" w:eastAsia="uk-UA"/>
              </w:rPr>
              <w:t>(ті, що не мають котирувань, але спостережувані</w:t>
            </w:r>
          </w:p>
          <w:p w14:paraId="0E25A693" w14:textId="63C44DA7" w:rsidR="005F5B8E" w:rsidRPr="000E05A8" w:rsidRDefault="005F5B8E" w:rsidP="006F359E">
            <w:pPr>
              <w:jc w:val="center"/>
              <w:rPr>
                <w:bCs/>
                <w:sz w:val="20"/>
                <w:szCs w:val="20"/>
              </w:rPr>
            </w:pPr>
          </w:p>
        </w:tc>
        <w:tc>
          <w:tcPr>
            <w:tcW w:w="2327" w:type="dxa"/>
            <w:shd w:val="clear" w:color="auto" w:fill="FFFFFF"/>
          </w:tcPr>
          <w:p w14:paraId="5574141E" w14:textId="36DE0AB3" w:rsidR="00752554" w:rsidRPr="000E05A8" w:rsidRDefault="00752554" w:rsidP="006F359E">
            <w:pPr>
              <w:jc w:val="center"/>
              <w:rPr>
                <w:bCs/>
                <w:sz w:val="20"/>
                <w:szCs w:val="20"/>
              </w:rPr>
            </w:pPr>
            <w:r w:rsidRPr="000E05A8">
              <w:rPr>
                <w:bCs/>
                <w:sz w:val="20"/>
                <w:szCs w:val="20"/>
                <w:lang w:val="uk-UA" w:eastAsia="uk-UA"/>
              </w:rPr>
              <w:t>(ті, що не мають котирувань і не є спостережуваними</w:t>
            </w:r>
            <w:r w:rsidR="00F4548A" w:rsidRPr="000E05A8">
              <w:rPr>
                <w:bCs/>
                <w:sz w:val="20"/>
                <w:szCs w:val="20"/>
                <w:lang w:val="uk-UA" w:eastAsia="uk-UA"/>
              </w:rPr>
              <w:t>)</w:t>
            </w:r>
          </w:p>
        </w:tc>
        <w:tc>
          <w:tcPr>
            <w:tcW w:w="1731" w:type="dxa"/>
            <w:vMerge/>
            <w:shd w:val="clear" w:color="auto" w:fill="FFFFFF"/>
          </w:tcPr>
          <w:p w14:paraId="61349E02" w14:textId="77777777" w:rsidR="00752554" w:rsidRPr="000E05A8" w:rsidRDefault="00752554" w:rsidP="006F359E">
            <w:pPr>
              <w:jc w:val="center"/>
              <w:rPr>
                <w:bCs/>
                <w:sz w:val="20"/>
                <w:szCs w:val="20"/>
              </w:rPr>
            </w:pPr>
          </w:p>
        </w:tc>
      </w:tr>
      <w:tr w:rsidR="00752554" w:rsidRPr="000E05A8" w14:paraId="327627CE" w14:textId="77777777" w:rsidTr="000E05A8">
        <w:trPr>
          <w:trHeight w:val="328"/>
        </w:trPr>
        <w:tc>
          <w:tcPr>
            <w:tcW w:w="1759" w:type="dxa"/>
          </w:tcPr>
          <w:p w14:paraId="748B2E68" w14:textId="77777777" w:rsidR="00752554" w:rsidRPr="000E05A8" w:rsidRDefault="00752554" w:rsidP="006F359E">
            <w:pPr>
              <w:jc w:val="both"/>
              <w:rPr>
                <w:sz w:val="20"/>
                <w:szCs w:val="20"/>
              </w:rPr>
            </w:pPr>
            <w:r w:rsidRPr="000E05A8">
              <w:rPr>
                <w:sz w:val="20"/>
                <w:szCs w:val="20"/>
                <w:lang w:val="uk-UA"/>
              </w:rPr>
              <w:t>Дата оцінки</w:t>
            </w:r>
          </w:p>
        </w:tc>
        <w:tc>
          <w:tcPr>
            <w:tcW w:w="1959" w:type="dxa"/>
          </w:tcPr>
          <w:p w14:paraId="1A8046BE" w14:textId="230A935C" w:rsidR="00752554" w:rsidRPr="000E05A8" w:rsidRDefault="00980979" w:rsidP="00CE10D7">
            <w:pPr>
              <w:jc w:val="center"/>
              <w:rPr>
                <w:sz w:val="20"/>
                <w:szCs w:val="20"/>
              </w:rPr>
            </w:pPr>
            <w:r w:rsidRPr="000E05A8">
              <w:rPr>
                <w:sz w:val="20"/>
                <w:szCs w:val="20"/>
                <w:lang w:val="uk-UA"/>
              </w:rPr>
              <w:t>31.03.2021</w:t>
            </w:r>
          </w:p>
        </w:tc>
        <w:tc>
          <w:tcPr>
            <w:tcW w:w="1959" w:type="dxa"/>
          </w:tcPr>
          <w:p w14:paraId="46269D59" w14:textId="622A334B" w:rsidR="00752554" w:rsidRPr="000E05A8" w:rsidRDefault="00980979" w:rsidP="006F359E">
            <w:pPr>
              <w:jc w:val="center"/>
              <w:rPr>
                <w:sz w:val="20"/>
                <w:szCs w:val="20"/>
              </w:rPr>
            </w:pPr>
            <w:r w:rsidRPr="000E05A8">
              <w:rPr>
                <w:sz w:val="20"/>
                <w:szCs w:val="20"/>
                <w:lang w:val="uk-UA"/>
              </w:rPr>
              <w:t>31.03.2021</w:t>
            </w:r>
          </w:p>
        </w:tc>
        <w:tc>
          <w:tcPr>
            <w:tcW w:w="2327" w:type="dxa"/>
          </w:tcPr>
          <w:p w14:paraId="526F2D42" w14:textId="4F6DB35E" w:rsidR="00752554" w:rsidRPr="000E05A8" w:rsidRDefault="00980979" w:rsidP="006F359E">
            <w:pPr>
              <w:jc w:val="center"/>
              <w:rPr>
                <w:sz w:val="20"/>
                <w:szCs w:val="20"/>
              </w:rPr>
            </w:pPr>
            <w:r w:rsidRPr="000E05A8">
              <w:rPr>
                <w:sz w:val="20"/>
                <w:szCs w:val="20"/>
                <w:lang w:val="uk-UA"/>
              </w:rPr>
              <w:t>31.03.2021</w:t>
            </w:r>
          </w:p>
        </w:tc>
        <w:tc>
          <w:tcPr>
            <w:tcW w:w="1731" w:type="dxa"/>
          </w:tcPr>
          <w:p w14:paraId="0E281339" w14:textId="5D58FB94" w:rsidR="00752554" w:rsidRPr="000E05A8" w:rsidRDefault="00980979" w:rsidP="006F359E">
            <w:pPr>
              <w:jc w:val="center"/>
              <w:rPr>
                <w:sz w:val="20"/>
                <w:szCs w:val="20"/>
              </w:rPr>
            </w:pPr>
            <w:r w:rsidRPr="000E05A8">
              <w:rPr>
                <w:sz w:val="20"/>
                <w:szCs w:val="20"/>
                <w:lang w:val="uk-UA"/>
              </w:rPr>
              <w:t>31.03.2021</w:t>
            </w:r>
          </w:p>
        </w:tc>
      </w:tr>
      <w:tr w:rsidR="004E7875" w:rsidRPr="000E05A8" w14:paraId="30D9DEFC" w14:textId="77777777" w:rsidTr="000E05A8">
        <w:trPr>
          <w:trHeight w:val="777"/>
        </w:trPr>
        <w:tc>
          <w:tcPr>
            <w:tcW w:w="1759" w:type="dxa"/>
          </w:tcPr>
          <w:p w14:paraId="79E1E937" w14:textId="77777777" w:rsidR="004E7875" w:rsidRPr="000E05A8" w:rsidRDefault="004E7875" w:rsidP="004E7875">
            <w:pPr>
              <w:jc w:val="both"/>
              <w:rPr>
                <w:sz w:val="20"/>
                <w:szCs w:val="20"/>
              </w:rPr>
            </w:pPr>
            <w:r w:rsidRPr="000E05A8">
              <w:rPr>
                <w:spacing w:val="-2"/>
                <w:sz w:val="20"/>
                <w:szCs w:val="20"/>
                <w:lang w:val="uk-UA"/>
              </w:rPr>
              <w:t xml:space="preserve">Поточні фінансові інвестиції </w:t>
            </w:r>
          </w:p>
        </w:tc>
        <w:tc>
          <w:tcPr>
            <w:tcW w:w="1959" w:type="dxa"/>
          </w:tcPr>
          <w:p w14:paraId="6ABCEBF2" w14:textId="120EED3A" w:rsidR="004E7875" w:rsidRPr="000E05A8" w:rsidRDefault="004E7875" w:rsidP="004E7875">
            <w:pPr>
              <w:jc w:val="center"/>
              <w:rPr>
                <w:sz w:val="20"/>
                <w:szCs w:val="20"/>
              </w:rPr>
            </w:pPr>
            <w:r w:rsidRPr="000E05A8">
              <w:rPr>
                <w:sz w:val="20"/>
                <w:szCs w:val="20"/>
                <w:lang w:val="uk-UA"/>
              </w:rPr>
              <w:t>6 895</w:t>
            </w:r>
          </w:p>
        </w:tc>
        <w:tc>
          <w:tcPr>
            <w:tcW w:w="1959" w:type="dxa"/>
          </w:tcPr>
          <w:p w14:paraId="6CB4A49D" w14:textId="77777777" w:rsidR="004E7875" w:rsidRPr="000E05A8" w:rsidRDefault="004E7875" w:rsidP="004E7875">
            <w:pPr>
              <w:jc w:val="center"/>
              <w:rPr>
                <w:sz w:val="20"/>
                <w:szCs w:val="20"/>
              </w:rPr>
            </w:pPr>
            <w:r w:rsidRPr="000E05A8">
              <w:rPr>
                <w:sz w:val="20"/>
                <w:szCs w:val="20"/>
                <w:lang w:val="uk-UA"/>
              </w:rPr>
              <w:t>-</w:t>
            </w:r>
          </w:p>
        </w:tc>
        <w:tc>
          <w:tcPr>
            <w:tcW w:w="2327" w:type="dxa"/>
          </w:tcPr>
          <w:p w14:paraId="691C04FB" w14:textId="77777777" w:rsidR="004E7875" w:rsidRPr="000E05A8" w:rsidRDefault="004E7875" w:rsidP="004E7875">
            <w:pPr>
              <w:jc w:val="center"/>
              <w:rPr>
                <w:sz w:val="20"/>
                <w:szCs w:val="20"/>
              </w:rPr>
            </w:pPr>
            <w:r w:rsidRPr="000E05A8">
              <w:rPr>
                <w:sz w:val="20"/>
                <w:szCs w:val="20"/>
                <w:lang w:val="uk-UA"/>
              </w:rPr>
              <w:t>-</w:t>
            </w:r>
          </w:p>
        </w:tc>
        <w:tc>
          <w:tcPr>
            <w:tcW w:w="1731" w:type="dxa"/>
          </w:tcPr>
          <w:p w14:paraId="72F80B64" w14:textId="40753ED2" w:rsidR="004E7875" w:rsidRPr="000E05A8" w:rsidRDefault="004E7875" w:rsidP="004E7875">
            <w:pPr>
              <w:jc w:val="center"/>
              <w:rPr>
                <w:sz w:val="20"/>
                <w:szCs w:val="20"/>
                <w:lang w:val="uk-UA"/>
              </w:rPr>
            </w:pPr>
            <w:r w:rsidRPr="000E05A8">
              <w:rPr>
                <w:sz w:val="20"/>
                <w:szCs w:val="20"/>
                <w:lang w:val="uk-UA"/>
              </w:rPr>
              <w:t>6 895</w:t>
            </w:r>
          </w:p>
        </w:tc>
      </w:tr>
      <w:tr w:rsidR="004E7875" w:rsidRPr="000E05A8" w14:paraId="7E0DA37D" w14:textId="77777777" w:rsidTr="000E05A8">
        <w:trPr>
          <w:trHeight w:val="777"/>
        </w:trPr>
        <w:tc>
          <w:tcPr>
            <w:tcW w:w="1759" w:type="dxa"/>
          </w:tcPr>
          <w:p w14:paraId="314C3381" w14:textId="71FA7506" w:rsidR="004E7875" w:rsidRPr="000E05A8" w:rsidRDefault="004E7875" w:rsidP="004E7875">
            <w:pPr>
              <w:jc w:val="both"/>
              <w:rPr>
                <w:spacing w:val="-2"/>
                <w:sz w:val="20"/>
                <w:szCs w:val="20"/>
                <w:lang w:val="uk-UA"/>
              </w:rPr>
            </w:pPr>
            <w:r w:rsidRPr="000E05A8">
              <w:rPr>
                <w:spacing w:val="-2"/>
                <w:sz w:val="20"/>
                <w:szCs w:val="20"/>
                <w:lang w:val="uk-UA"/>
              </w:rPr>
              <w:t>Гроші на банківському рахунку</w:t>
            </w:r>
            <w:r w:rsidR="00FD18EE" w:rsidRPr="000E05A8">
              <w:rPr>
                <w:spacing w:val="-2"/>
                <w:sz w:val="20"/>
                <w:szCs w:val="20"/>
                <w:lang w:val="uk-UA"/>
              </w:rPr>
              <w:t xml:space="preserve"> та іх еквіваленти</w:t>
            </w:r>
          </w:p>
        </w:tc>
        <w:tc>
          <w:tcPr>
            <w:tcW w:w="1959" w:type="dxa"/>
          </w:tcPr>
          <w:p w14:paraId="53609A0E" w14:textId="046A1D58" w:rsidR="004E7875" w:rsidRPr="000E05A8" w:rsidRDefault="004E7875" w:rsidP="004E7875">
            <w:pPr>
              <w:jc w:val="center"/>
              <w:rPr>
                <w:sz w:val="20"/>
                <w:szCs w:val="20"/>
                <w:lang w:val="uk-UA"/>
              </w:rPr>
            </w:pPr>
            <w:r w:rsidRPr="000E05A8">
              <w:rPr>
                <w:sz w:val="20"/>
                <w:szCs w:val="20"/>
                <w:lang w:val="uk-UA"/>
              </w:rPr>
              <w:t>147</w:t>
            </w:r>
          </w:p>
        </w:tc>
        <w:tc>
          <w:tcPr>
            <w:tcW w:w="1959" w:type="dxa"/>
          </w:tcPr>
          <w:p w14:paraId="3C02DBC9" w14:textId="77777777" w:rsidR="004E7875" w:rsidRPr="000E05A8" w:rsidRDefault="004E7875" w:rsidP="004E7875">
            <w:pPr>
              <w:jc w:val="center"/>
              <w:rPr>
                <w:sz w:val="20"/>
                <w:szCs w:val="20"/>
                <w:lang w:val="uk-UA"/>
              </w:rPr>
            </w:pPr>
            <w:r w:rsidRPr="000E05A8">
              <w:rPr>
                <w:sz w:val="20"/>
                <w:szCs w:val="20"/>
                <w:lang w:val="uk-UA"/>
              </w:rPr>
              <w:t>-</w:t>
            </w:r>
          </w:p>
        </w:tc>
        <w:tc>
          <w:tcPr>
            <w:tcW w:w="2327" w:type="dxa"/>
          </w:tcPr>
          <w:p w14:paraId="54B6798C" w14:textId="77777777" w:rsidR="004E7875" w:rsidRPr="000E05A8" w:rsidRDefault="004E7875" w:rsidP="004E7875">
            <w:pPr>
              <w:jc w:val="center"/>
              <w:rPr>
                <w:sz w:val="20"/>
                <w:szCs w:val="20"/>
                <w:lang w:val="uk-UA"/>
              </w:rPr>
            </w:pPr>
            <w:r w:rsidRPr="000E05A8">
              <w:rPr>
                <w:sz w:val="20"/>
                <w:szCs w:val="20"/>
                <w:lang w:val="uk-UA"/>
              </w:rPr>
              <w:t>-</w:t>
            </w:r>
          </w:p>
        </w:tc>
        <w:tc>
          <w:tcPr>
            <w:tcW w:w="1731" w:type="dxa"/>
          </w:tcPr>
          <w:p w14:paraId="7761CD4B" w14:textId="7859BC1E" w:rsidR="004E7875" w:rsidRPr="000E05A8" w:rsidRDefault="004E7875" w:rsidP="004E7875">
            <w:pPr>
              <w:jc w:val="center"/>
              <w:rPr>
                <w:sz w:val="20"/>
                <w:szCs w:val="20"/>
                <w:lang w:val="uk-UA"/>
              </w:rPr>
            </w:pPr>
            <w:r w:rsidRPr="000E05A8">
              <w:rPr>
                <w:sz w:val="20"/>
                <w:szCs w:val="20"/>
                <w:lang w:val="uk-UA"/>
              </w:rPr>
              <w:t>147</w:t>
            </w:r>
          </w:p>
        </w:tc>
      </w:tr>
      <w:tr w:rsidR="004E7875" w:rsidRPr="000E05A8" w14:paraId="045E0FC9" w14:textId="77777777" w:rsidTr="000E05A8">
        <w:trPr>
          <w:trHeight w:val="325"/>
        </w:trPr>
        <w:tc>
          <w:tcPr>
            <w:tcW w:w="1759" w:type="dxa"/>
          </w:tcPr>
          <w:p w14:paraId="6C45EC51" w14:textId="0DB0E100" w:rsidR="004E7875" w:rsidRPr="00593744" w:rsidRDefault="00593744" w:rsidP="004E7875">
            <w:pPr>
              <w:jc w:val="both"/>
              <w:rPr>
                <w:b/>
                <w:i/>
                <w:iCs/>
                <w:spacing w:val="-2"/>
                <w:sz w:val="20"/>
                <w:szCs w:val="20"/>
                <w:lang w:val="uk-UA"/>
              </w:rPr>
            </w:pPr>
            <w:r w:rsidRPr="00593744">
              <w:rPr>
                <w:b/>
                <w:i/>
                <w:iCs/>
                <w:spacing w:val="-2"/>
                <w:sz w:val="20"/>
                <w:szCs w:val="20"/>
                <w:lang w:val="uk-UA"/>
              </w:rPr>
              <w:t>Всього</w:t>
            </w:r>
            <w:r>
              <w:rPr>
                <w:b/>
                <w:i/>
                <w:iCs/>
                <w:spacing w:val="-2"/>
                <w:sz w:val="20"/>
                <w:szCs w:val="20"/>
                <w:lang w:val="uk-UA"/>
              </w:rPr>
              <w:t xml:space="preserve"> </w:t>
            </w:r>
          </w:p>
        </w:tc>
        <w:tc>
          <w:tcPr>
            <w:tcW w:w="1959" w:type="dxa"/>
          </w:tcPr>
          <w:p w14:paraId="5187CDA5" w14:textId="0F7B8E4E" w:rsidR="004E7875" w:rsidRPr="00593744" w:rsidRDefault="004E7875" w:rsidP="004E7875">
            <w:pPr>
              <w:jc w:val="center"/>
              <w:rPr>
                <w:b/>
                <w:i/>
                <w:iCs/>
                <w:sz w:val="20"/>
                <w:szCs w:val="20"/>
                <w:lang w:val="uk-UA"/>
              </w:rPr>
            </w:pPr>
            <w:r w:rsidRPr="00593744">
              <w:rPr>
                <w:b/>
                <w:i/>
                <w:iCs/>
                <w:sz w:val="20"/>
                <w:szCs w:val="20"/>
                <w:lang w:val="uk-UA"/>
              </w:rPr>
              <w:t>7 042</w:t>
            </w:r>
          </w:p>
        </w:tc>
        <w:tc>
          <w:tcPr>
            <w:tcW w:w="1959" w:type="dxa"/>
          </w:tcPr>
          <w:p w14:paraId="61E91446" w14:textId="77777777" w:rsidR="004E7875" w:rsidRPr="00593744" w:rsidRDefault="004E7875" w:rsidP="004E7875">
            <w:pPr>
              <w:jc w:val="center"/>
              <w:rPr>
                <w:b/>
                <w:i/>
                <w:iCs/>
                <w:sz w:val="20"/>
                <w:szCs w:val="20"/>
                <w:lang w:val="uk-UA"/>
              </w:rPr>
            </w:pPr>
            <w:r w:rsidRPr="00593744">
              <w:rPr>
                <w:b/>
                <w:i/>
                <w:iCs/>
                <w:sz w:val="20"/>
                <w:szCs w:val="20"/>
                <w:lang w:val="uk-UA"/>
              </w:rPr>
              <w:t>-</w:t>
            </w:r>
          </w:p>
        </w:tc>
        <w:tc>
          <w:tcPr>
            <w:tcW w:w="2327" w:type="dxa"/>
          </w:tcPr>
          <w:p w14:paraId="45BB9965" w14:textId="77777777" w:rsidR="004E7875" w:rsidRPr="00593744" w:rsidRDefault="004E7875" w:rsidP="004E7875">
            <w:pPr>
              <w:jc w:val="center"/>
              <w:rPr>
                <w:b/>
                <w:i/>
                <w:iCs/>
                <w:sz w:val="20"/>
                <w:szCs w:val="20"/>
                <w:lang w:val="uk-UA"/>
              </w:rPr>
            </w:pPr>
            <w:r w:rsidRPr="00593744">
              <w:rPr>
                <w:b/>
                <w:i/>
                <w:iCs/>
                <w:sz w:val="20"/>
                <w:szCs w:val="20"/>
                <w:lang w:val="uk-UA"/>
              </w:rPr>
              <w:t>-</w:t>
            </w:r>
          </w:p>
        </w:tc>
        <w:tc>
          <w:tcPr>
            <w:tcW w:w="1731" w:type="dxa"/>
          </w:tcPr>
          <w:p w14:paraId="48F89AF9" w14:textId="0B41794D" w:rsidR="004E7875" w:rsidRPr="00593744" w:rsidRDefault="004E7875" w:rsidP="004E7875">
            <w:pPr>
              <w:jc w:val="center"/>
              <w:rPr>
                <w:b/>
                <w:i/>
                <w:iCs/>
                <w:sz w:val="20"/>
                <w:szCs w:val="20"/>
                <w:lang w:val="uk-UA"/>
              </w:rPr>
            </w:pPr>
            <w:r w:rsidRPr="00593744">
              <w:rPr>
                <w:b/>
                <w:i/>
                <w:iCs/>
                <w:sz w:val="20"/>
                <w:szCs w:val="20"/>
                <w:lang w:val="uk-UA"/>
              </w:rPr>
              <w:t>7 042</w:t>
            </w:r>
          </w:p>
        </w:tc>
      </w:tr>
    </w:tbl>
    <w:p w14:paraId="6761CCCE" w14:textId="17530B99" w:rsidR="00752554" w:rsidRPr="000E05A8" w:rsidRDefault="00752554" w:rsidP="00794809">
      <w:pPr>
        <w:shd w:val="clear" w:color="auto" w:fill="FFFFFF"/>
        <w:ind w:firstLine="709"/>
        <w:jc w:val="both"/>
        <w:rPr>
          <w:bCs/>
          <w:spacing w:val="-2"/>
          <w:sz w:val="22"/>
          <w:szCs w:val="22"/>
          <w:lang w:val="uk-UA"/>
        </w:rPr>
      </w:pPr>
      <w:r w:rsidRPr="000E05A8">
        <w:rPr>
          <w:bCs/>
          <w:spacing w:val="-2"/>
          <w:sz w:val="22"/>
          <w:szCs w:val="22"/>
          <w:lang w:val="uk-UA"/>
        </w:rPr>
        <w:t xml:space="preserve">На думку керівництва Товариства фінансові активи, що знаходяться на балансі Товариства станом на </w:t>
      </w:r>
      <w:r w:rsidR="00980979" w:rsidRPr="000E05A8">
        <w:rPr>
          <w:bCs/>
          <w:spacing w:val="-2"/>
          <w:sz w:val="22"/>
          <w:szCs w:val="22"/>
          <w:lang w:val="uk-UA"/>
        </w:rPr>
        <w:t>31.03.2021</w:t>
      </w:r>
      <w:r w:rsidRPr="000E05A8">
        <w:rPr>
          <w:bCs/>
          <w:spacing w:val="-2"/>
          <w:sz w:val="22"/>
          <w:szCs w:val="22"/>
          <w:lang w:val="uk-UA"/>
        </w:rPr>
        <w:t xml:space="preserve"> року, відносяться до 1-ого рівня ієрархії.</w:t>
      </w:r>
    </w:p>
    <w:p w14:paraId="2DFAD739" w14:textId="77777777" w:rsidR="00752554" w:rsidRPr="000E05A8" w:rsidRDefault="00752554" w:rsidP="00794809">
      <w:pPr>
        <w:shd w:val="clear" w:color="auto" w:fill="FFFFFF"/>
        <w:ind w:firstLine="709"/>
        <w:jc w:val="both"/>
        <w:rPr>
          <w:b/>
          <w:bCs/>
          <w:spacing w:val="-2"/>
          <w:sz w:val="22"/>
          <w:szCs w:val="22"/>
          <w:lang w:val="uk-UA"/>
        </w:rPr>
      </w:pPr>
    </w:p>
    <w:p w14:paraId="0B1F7E20"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5.3. Переміщення між 2-м та 3-м рівнями ієрархії справедливої вартості</w:t>
      </w:r>
    </w:p>
    <w:p w14:paraId="523651FD" w14:textId="134EF99E" w:rsidR="00752554" w:rsidRPr="000E05A8" w:rsidRDefault="000E05A8" w:rsidP="000E05A8">
      <w:pPr>
        <w:shd w:val="clear" w:color="auto" w:fill="FFFFFF"/>
        <w:autoSpaceDE w:val="0"/>
        <w:autoSpaceDN w:val="0"/>
        <w:adjustRightInd w:val="0"/>
        <w:jc w:val="both"/>
        <w:rPr>
          <w:sz w:val="22"/>
          <w:szCs w:val="22"/>
          <w:lang w:val="uk-UA"/>
        </w:rPr>
      </w:pPr>
      <w:r>
        <w:rPr>
          <w:sz w:val="22"/>
          <w:szCs w:val="22"/>
          <w:lang w:val="uk-UA"/>
        </w:rPr>
        <w:t xml:space="preserve">     </w:t>
      </w:r>
      <w:r w:rsidR="00752554" w:rsidRPr="000E05A8">
        <w:rPr>
          <w:sz w:val="22"/>
          <w:szCs w:val="22"/>
          <w:lang w:val="uk-UA"/>
        </w:rPr>
        <w:t xml:space="preserve">За період </w:t>
      </w:r>
      <w:r w:rsidR="006048BC" w:rsidRPr="000E05A8">
        <w:rPr>
          <w:sz w:val="22"/>
          <w:szCs w:val="22"/>
          <w:lang w:val="uk-UA"/>
        </w:rPr>
        <w:t>01.01.2021</w:t>
      </w:r>
      <w:r w:rsidR="00752554" w:rsidRPr="000E05A8">
        <w:rPr>
          <w:sz w:val="22"/>
          <w:szCs w:val="22"/>
          <w:lang w:val="uk-UA"/>
        </w:rPr>
        <w:t xml:space="preserve"> – </w:t>
      </w:r>
      <w:r w:rsidR="00980979" w:rsidRPr="000E05A8">
        <w:rPr>
          <w:sz w:val="22"/>
          <w:szCs w:val="22"/>
          <w:lang w:val="uk-UA"/>
        </w:rPr>
        <w:t>31.03.2021</w:t>
      </w:r>
      <w:r w:rsidR="00752554" w:rsidRPr="000E05A8">
        <w:rPr>
          <w:sz w:val="22"/>
          <w:szCs w:val="22"/>
          <w:lang w:val="uk-UA"/>
        </w:rPr>
        <w:t>р. переміщень між рівнями ієрархії не було.</w:t>
      </w:r>
    </w:p>
    <w:p w14:paraId="1B2A257C" w14:textId="4D8667EB"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5.4. Інші розкриття, що вимагаються МСФЗ 13 «Оцінка справедливої вартості»</w:t>
      </w:r>
    </w:p>
    <w:p w14:paraId="3AECC7FC" w14:textId="52D595E7" w:rsidR="00752554" w:rsidRPr="000E05A8" w:rsidRDefault="000E05A8" w:rsidP="000E05A8">
      <w:pPr>
        <w:shd w:val="clear" w:color="auto" w:fill="FFFFFF"/>
        <w:autoSpaceDE w:val="0"/>
        <w:autoSpaceDN w:val="0"/>
        <w:adjustRightInd w:val="0"/>
        <w:jc w:val="both"/>
        <w:rPr>
          <w:sz w:val="22"/>
          <w:szCs w:val="22"/>
          <w:lang w:val="uk-UA"/>
        </w:rPr>
      </w:pPr>
      <w:r>
        <w:rPr>
          <w:sz w:val="22"/>
          <w:szCs w:val="22"/>
          <w:lang w:val="uk-UA"/>
        </w:rPr>
        <w:t xml:space="preserve">     </w:t>
      </w:r>
      <w:r w:rsidR="00752554" w:rsidRPr="000E05A8">
        <w:rPr>
          <w:sz w:val="22"/>
          <w:szCs w:val="22"/>
          <w:lang w:val="uk-UA"/>
        </w:rPr>
        <w:t>Справедлива вартість грошових коштів в порівнянні з їх балансовою вартістю не відрізняється.</w:t>
      </w:r>
    </w:p>
    <w:p w14:paraId="5D4CACE5" w14:textId="77777777" w:rsidR="00F4548A" w:rsidRPr="000E05A8" w:rsidRDefault="00F4548A" w:rsidP="00F4548A">
      <w:pPr>
        <w:shd w:val="clear" w:color="auto" w:fill="FFFFFF"/>
        <w:ind w:firstLine="709"/>
        <w:jc w:val="right"/>
        <w:rPr>
          <w:bCs/>
          <w:spacing w:val="-2"/>
          <w:sz w:val="22"/>
          <w:szCs w:val="22"/>
          <w:lang w:val="uk-UA"/>
        </w:rPr>
      </w:pPr>
      <w:r w:rsidRPr="000E05A8">
        <w:rPr>
          <w:bCs/>
          <w:spacing w:val="-2"/>
          <w:sz w:val="22"/>
          <w:szCs w:val="22"/>
          <w:lang w:val="uk-UA"/>
        </w:rPr>
        <w:t>(тис.грн)</w:t>
      </w:r>
    </w:p>
    <w:tbl>
      <w:tblPr>
        <w:tblW w:w="9720" w:type="dxa"/>
        <w:tblInd w:w="40" w:type="dxa"/>
        <w:tblLayout w:type="fixed"/>
        <w:tblCellMar>
          <w:left w:w="40" w:type="dxa"/>
          <w:right w:w="40" w:type="dxa"/>
        </w:tblCellMar>
        <w:tblLook w:val="0000" w:firstRow="0" w:lastRow="0" w:firstColumn="0" w:lastColumn="0" w:noHBand="0" w:noVBand="0"/>
      </w:tblPr>
      <w:tblGrid>
        <w:gridCol w:w="4205"/>
        <w:gridCol w:w="2693"/>
        <w:gridCol w:w="2822"/>
      </w:tblGrid>
      <w:tr w:rsidR="00752554" w:rsidRPr="000E05A8" w14:paraId="76EE8F00" w14:textId="77777777" w:rsidTr="000E05A8">
        <w:trPr>
          <w:trHeight w:hRule="exact" w:val="653"/>
        </w:trPr>
        <w:tc>
          <w:tcPr>
            <w:tcW w:w="4205" w:type="dxa"/>
            <w:vMerge w:val="restart"/>
            <w:tcBorders>
              <w:top w:val="single" w:sz="6" w:space="0" w:color="auto"/>
              <w:left w:val="single" w:sz="6" w:space="0" w:color="auto"/>
              <w:right w:val="single" w:sz="6" w:space="0" w:color="auto"/>
            </w:tcBorders>
            <w:shd w:val="clear" w:color="auto" w:fill="FFFFFF"/>
          </w:tcPr>
          <w:p w14:paraId="0AB9F9FD" w14:textId="77777777" w:rsidR="00752554" w:rsidRPr="000E05A8" w:rsidRDefault="00752554" w:rsidP="00794809">
            <w:pPr>
              <w:ind w:firstLine="709"/>
              <w:jc w:val="both"/>
              <w:rPr>
                <w:sz w:val="20"/>
                <w:szCs w:val="20"/>
                <w:lang w:val="uk-UA"/>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BB8025B" w14:textId="2CDEF2E0" w:rsidR="00752554" w:rsidRPr="000E05A8" w:rsidRDefault="00752554" w:rsidP="00AC1830">
            <w:pPr>
              <w:shd w:val="clear" w:color="auto" w:fill="FFFFFF"/>
              <w:ind w:firstLine="14"/>
              <w:jc w:val="center"/>
              <w:rPr>
                <w:sz w:val="20"/>
                <w:szCs w:val="20"/>
                <w:lang w:val="uk-UA"/>
              </w:rPr>
            </w:pPr>
            <w:r w:rsidRPr="000E05A8">
              <w:rPr>
                <w:sz w:val="20"/>
                <w:szCs w:val="20"/>
                <w:lang w:val="uk-UA"/>
              </w:rPr>
              <w:t>Балансова вартість</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7D3F0D4F" w14:textId="77777777" w:rsidR="00752554" w:rsidRPr="000E05A8" w:rsidRDefault="00752554" w:rsidP="00AC1830">
            <w:pPr>
              <w:shd w:val="clear" w:color="auto" w:fill="FFFFFF"/>
              <w:jc w:val="center"/>
              <w:rPr>
                <w:sz w:val="20"/>
                <w:szCs w:val="20"/>
                <w:lang w:val="uk-UA"/>
              </w:rPr>
            </w:pPr>
            <w:r w:rsidRPr="000E05A8">
              <w:rPr>
                <w:sz w:val="20"/>
                <w:szCs w:val="20"/>
                <w:lang w:val="uk-UA"/>
              </w:rPr>
              <w:t>Справедлива вартість</w:t>
            </w:r>
          </w:p>
        </w:tc>
      </w:tr>
      <w:tr w:rsidR="007045BB" w:rsidRPr="000E05A8" w14:paraId="7F1BDE39" w14:textId="77777777" w:rsidTr="000E05A8">
        <w:trPr>
          <w:trHeight w:hRule="exact" w:val="317"/>
        </w:trPr>
        <w:tc>
          <w:tcPr>
            <w:tcW w:w="4205" w:type="dxa"/>
            <w:vMerge/>
            <w:tcBorders>
              <w:left w:val="single" w:sz="6" w:space="0" w:color="auto"/>
              <w:bottom w:val="single" w:sz="6" w:space="0" w:color="auto"/>
              <w:right w:val="single" w:sz="6" w:space="0" w:color="auto"/>
            </w:tcBorders>
            <w:shd w:val="clear" w:color="auto" w:fill="FFFFFF"/>
          </w:tcPr>
          <w:p w14:paraId="38F0E438" w14:textId="77777777" w:rsidR="007045BB" w:rsidRPr="000E05A8" w:rsidRDefault="007045BB" w:rsidP="00794809">
            <w:pPr>
              <w:ind w:firstLine="709"/>
              <w:jc w:val="both"/>
              <w:rPr>
                <w:sz w:val="20"/>
                <w:szCs w:val="20"/>
                <w:lang w:val="uk-UA"/>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F5D0A71" w14:textId="246CD3D0" w:rsidR="007045BB" w:rsidRPr="000E05A8" w:rsidRDefault="00980979" w:rsidP="00AC1830">
            <w:pPr>
              <w:autoSpaceDE w:val="0"/>
              <w:autoSpaceDN w:val="0"/>
              <w:adjustRightInd w:val="0"/>
              <w:jc w:val="center"/>
              <w:rPr>
                <w:sz w:val="20"/>
                <w:szCs w:val="20"/>
                <w:lang w:val="uk-UA"/>
              </w:rPr>
            </w:pPr>
            <w:r w:rsidRPr="000E05A8">
              <w:rPr>
                <w:sz w:val="20"/>
                <w:szCs w:val="20"/>
                <w:lang w:val="uk-UA"/>
              </w:rPr>
              <w:t>31.03.2021</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4508D68E" w14:textId="5BB2BAE8" w:rsidR="007045BB" w:rsidRPr="000E05A8" w:rsidRDefault="00980979" w:rsidP="00AC1830">
            <w:pPr>
              <w:autoSpaceDE w:val="0"/>
              <w:autoSpaceDN w:val="0"/>
              <w:adjustRightInd w:val="0"/>
              <w:jc w:val="center"/>
              <w:rPr>
                <w:strike/>
                <w:sz w:val="20"/>
                <w:szCs w:val="20"/>
                <w:lang w:val="uk-UA"/>
              </w:rPr>
            </w:pPr>
            <w:r w:rsidRPr="000E05A8">
              <w:rPr>
                <w:sz w:val="20"/>
                <w:szCs w:val="20"/>
                <w:lang w:val="uk-UA"/>
              </w:rPr>
              <w:t>31.03.2021</w:t>
            </w:r>
          </w:p>
        </w:tc>
      </w:tr>
      <w:tr w:rsidR="00A47136" w:rsidRPr="000E05A8" w14:paraId="64F58CB9" w14:textId="77777777" w:rsidTr="000E05A8">
        <w:trPr>
          <w:trHeight w:hRule="exact" w:val="3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32192B4" w14:textId="682E63F6" w:rsidR="00A47136" w:rsidRPr="000E05A8" w:rsidRDefault="00A47136" w:rsidP="00A47136">
            <w:pPr>
              <w:shd w:val="clear" w:color="auto" w:fill="FFFFFF"/>
              <w:jc w:val="both"/>
              <w:rPr>
                <w:sz w:val="20"/>
                <w:szCs w:val="20"/>
                <w:lang w:val="uk-UA"/>
              </w:rPr>
            </w:pPr>
            <w:r w:rsidRPr="000E05A8">
              <w:rPr>
                <w:spacing w:val="-2"/>
                <w:sz w:val="20"/>
                <w:szCs w:val="20"/>
                <w:lang w:val="uk-UA"/>
              </w:rPr>
              <w:t>Грошові кошти</w:t>
            </w:r>
            <w:r w:rsidR="00FC5C98" w:rsidRPr="000E05A8">
              <w:rPr>
                <w:spacing w:val="-2"/>
                <w:sz w:val="20"/>
                <w:szCs w:val="20"/>
                <w:lang w:val="uk-UA"/>
              </w:rPr>
              <w:t xml:space="preserve"> та іх еквіваленти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DC3164" w14:textId="59042304" w:rsidR="00A47136" w:rsidRPr="000E05A8" w:rsidRDefault="004E7875" w:rsidP="008F0BE5">
            <w:pPr>
              <w:shd w:val="clear" w:color="auto" w:fill="FFFFFF"/>
              <w:jc w:val="center"/>
              <w:rPr>
                <w:sz w:val="20"/>
                <w:szCs w:val="20"/>
                <w:lang w:val="uk-UA"/>
              </w:rPr>
            </w:pPr>
            <w:r w:rsidRPr="000E05A8">
              <w:rPr>
                <w:sz w:val="20"/>
                <w:szCs w:val="20"/>
                <w:lang w:val="uk-UA"/>
              </w:rPr>
              <w:t>147</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5B2CE90D" w14:textId="50AB78F7" w:rsidR="00A47136" w:rsidRPr="000E05A8" w:rsidRDefault="004E7875" w:rsidP="00A47136">
            <w:pPr>
              <w:shd w:val="clear" w:color="auto" w:fill="FFFFFF"/>
              <w:jc w:val="center"/>
              <w:rPr>
                <w:sz w:val="20"/>
                <w:szCs w:val="20"/>
                <w:lang w:val="uk-UA"/>
              </w:rPr>
            </w:pPr>
            <w:r w:rsidRPr="000E05A8">
              <w:rPr>
                <w:sz w:val="20"/>
                <w:szCs w:val="20"/>
                <w:lang w:val="uk-UA"/>
              </w:rPr>
              <w:t>147</w:t>
            </w:r>
          </w:p>
        </w:tc>
      </w:tr>
      <w:tr w:rsidR="00A47136" w:rsidRPr="000E05A8" w14:paraId="00D8DEC3" w14:textId="77777777" w:rsidTr="000E05A8">
        <w:trPr>
          <w:trHeight w:hRule="exact" w:val="37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318202A8" w14:textId="1AE9BAB4" w:rsidR="00A47136" w:rsidRPr="000E05A8" w:rsidRDefault="00A47136" w:rsidP="00A47136">
            <w:pPr>
              <w:shd w:val="clear" w:color="auto" w:fill="FFFFFF"/>
              <w:jc w:val="both"/>
              <w:rPr>
                <w:spacing w:val="-2"/>
                <w:sz w:val="20"/>
                <w:szCs w:val="20"/>
                <w:lang w:val="uk-UA"/>
              </w:rPr>
            </w:pPr>
            <w:r w:rsidRPr="000E05A8">
              <w:rPr>
                <w:spacing w:val="-2"/>
                <w:sz w:val="20"/>
                <w:szCs w:val="20"/>
                <w:lang w:val="uk-UA"/>
              </w:rPr>
              <w:t>Поточні фінансові інвестиції</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2DADA6D" w14:textId="6E3ADE23" w:rsidR="00A47136" w:rsidRPr="000E05A8" w:rsidRDefault="004E7875" w:rsidP="00A47136">
            <w:pPr>
              <w:shd w:val="clear" w:color="auto" w:fill="FFFFFF"/>
              <w:jc w:val="center"/>
              <w:rPr>
                <w:sz w:val="20"/>
                <w:szCs w:val="20"/>
                <w:lang w:val="uk-UA"/>
              </w:rPr>
            </w:pPr>
            <w:r w:rsidRPr="000E05A8">
              <w:rPr>
                <w:sz w:val="20"/>
                <w:szCs w:val="20"/>
                <w:lang w:val="uk-UA"/>
              </w:rPr>
              <w:t>6 895</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34782965" w14:textId="47C17889" w:rsidR="00A47136" w:rsidRPr="000E05A8" w:rsidRDefault="004E7875" w:rsidP="00A47136">
            <w:pPr>
              <w:shd w:val="clear" w:color="auto" w:fill="FFFFFF"/>
              <w:jc w:val="center"/>
              <w:rPr>
                <w:sz w:val="20"/>
                <w:szCs w:val="20"/>
                <w:lang w:val="uk-UA"/>
              </w:rPr>
            </w:pPr>
            <w:r w:rsidRPr="000E05A8">
              <w:rPr>
                <w:sz w:val="20"/>
                <w:szCs w:val="20"/>
                <w:lang w:val="uk-UA"/>
              </w:rPr>
              <w:t>6 895</w:t>
            </w:r>
          </w:p>
        </w:tc>
      </w:tr>
    </w:tbl>
    <w:p w14:paraId="3B247411" w14:textId="77777777" w:rsidR="00752554" w:rsidRPr="000E05A8" w:rsidRDefault="00752554" w:rsidP="00794809">
      <w:pPr>
        <w:shd w:val="clear" w:color="auto" w:fill="FFFFFF"/>
        <w:ind w:firstLine="709"/>
        <w:jc w:val="both"/>
        <w:rPr>
          <w:bCs/>
          <w:spacing w:val="-2"/>
          <w:sz w:val="22"/>
          <w:szCs w:val="22"/>
          <w:lang w:val="uk-UA"/>
        </w:rPr>
      </w:pPr>
    </w:p>
    <w:p w14:paraId="0085885F" w14:textId="77777777" w:rsidR="00752554" w:rsidRPr="000E05A8" w:rsidRDefault="00752554" w:rsidP="00794809">
      <w:pPr>
        <w:shd w:val="clear" w:color="auto" w:fill="FFFFFF"/>
        <w:ind w:firstLine="709"/>
        <w:jc w:val="both"/>
        <w:rPr>
          <w:bCs/>
          <w:spacing w:val="-2"/>
          <w:sz w:val="22"/>
          <w:szCs w:val="22"/>
          <w:lang w:val="uk-UA"/>
        </w:rPr>
      </w:pPr>
      <w:r w:rsidRPr="000E05A8">
        <w:rPr>
          <w:bCs/>
          <w:spacing w:val="-2"/>
          <w:sz w:val="22"/>
          <w:szCs w:val="22"/>
          <w:lang w:val="uk-UA"/>
        </w:rPr>
        <w:t>Справедлива вартість фінансових інструментів в порівнянні з їх балансовою вартістю:</w:t>
      </w:r>
    </w:p>
    <w:p w14:paraId="1DCD4FF9" w14:textId="42BED9F6"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 xml:space="preserve">Поточні фінансові інвестиції в складі </w:t>
      </w:r>
      <w:r w:rsidR="00137673" w:rsidRPr="000E05A8">
        <w:rPr>
          <w:b/>
          <w:bCs/>
          <w:spacing w:val="-2"/>
          <w:sz w:val="22"/>
          <w:szCs w:val="22"/>
          <w:lang w:val="uk-UA"/>
        </w:rPr>
        <w:t>ОЗДП</w:t>
      </w:r>
    </w:p>
    <w:p w14:paraId="555934B8" w14:textId="4BABEEAD" w:rsidR="00752554" w:rsidRPr="000E05A8" w:rsidRDefault="00A26288" w:rsidP="00794809">
      <w:pPr>
        <w:shd w:val="clear" w:color="auto" w:fill="FFFFFF"/>
        <w:ind w:firstLine="709"/>
        <w:jc w:val="both"/>
        <w:rPr>
          <w:bCs/>
          <w:spacing w:val="-2"/>
          <w:sz w:val="22"/>
          <w:szCs w:val="22"/>
          <w:lang w:val="uk-UA"/>
        </w:rPr>
      </w:pPr>
      <w:r w:rsidRPr="000E05A8">
        <w:rPr>
          <w:sz w:val="22"/>
          <w:szCs w:val="22"/>
          <w:lang w:val="uk-UA"/>
        </w:rPr>
        <w:t xml:space="preserve">Справедлива вартість облігацій державної </w:t>
      </w:r>
      <w:r w:rsidR="0049079B" w:rsidRPr="000E05A8">
        <w:rPr>
          <w:sz w:val="22"/>
          <w:szCs w:val="22"/>
          <w:lang w:val="uk-UA"/>
        </w:rPr>
        <w:t xml:space="preserve">зовнішньої </w:t>
      </w:r>
      <w:r w:rsidRPr="000E05A8">
        <w:rPr>
          <w:sz w:val="22"/>
          <w:szCs w:val="22"/>
          <w:lang w:val="uk-UA"/>
        </w:rPr>
        <w:t>позики, міжнародний код цінного паперу</w:t>
      </w:r>
      <w:r w:rsidRPr="000E05A8">
        <w:rPr>
          <w:spacing w:val="-3"/>
          <w:sz w:val="22"/>
          <w:szCs w:val="22"/>
          <w:lang w:val="uk-UA"/>
        </w:rPr>
        <w:t xml:space="preserve"> </w:t>
      </w:r>
      <w:r w:rsidR="004048CC" w:rsidRPr="000E05A8">
        <w:rPr>
          <w:rFonts w:eastAsiaTheme="minorEastAsia"/>
          <w:sz w:val="22"/>
          <w:szCs w:val="22"/>
          <w:lang w:val="en-US"/>
        </w:rPr>
        <w:t>XS</w:t>
      </w:r>
      <w:r w:rsidR="004048CC" w:rsidRPr="000E05A8">
        <w:rPr>
          <w:rFonts w:eastAsiaTheme="minorEastAsia"/>
          <w:sz w:val="22"/>
          <w:szCs w:val="22"/>
        </w:rPr>
        <w:t>1303926528</w:t>
      </w:r>
      <w:r w:rsidRPr="000E05A8">
        <w:rPr>
          <w:sz w:val="22"/>
          <w:szCs w:val="22"/>
          <w:lang w:val="uk-UA"/>
        </w:rPr>
        <w:t xml:space="preserve">  на дату </w:t>
      </w:r>
      <w:r w:rsidR="00980979" w:rsidRPr="000E05A8">
        <w:rPr>
          <w:sz w:val="22"/>
          <w:szCs w:val="22"/>
          <w:lang w:val="uk-UA"/>
        </w:rPr>
        <w:t>31 березня 2021</w:t>
      </w:r>
      <w:r w:rsidR="00FA7519" w:rsidRPr="000E05A8">
        <w:rPr>
          <w:sz w:val="22"/>
          <w:szCs w:val="22"/>
          <w:lang w:val="uk-UA"/>
        </w:rPr>
        <w:t xml:space="preserve"> року</w:t>
      </w:r>
      <w:r w:rsidRPr="000E05A8">
        <w:rPr>
          <w:sz w:val="22"/>
          <w:szCs w:val="22"/>
          <w:lang w:val="uk-UA"/>
        </w:rPr>
        <w:t xml:space="preserve"> становила </w:t>
      </w:r>
      <w:r w:rsidR="00E161C6" w:rsidRPr="000E05A8">
        <w:rPr>
          <w:sz w:val="22"/>
          <w:szCs w:val="22"/>
          <w:lang w:val="uk-UA"/>
        </w:rPr>
        <w:t>1</w:t>
      </w:r>
      <w:r w:rsidR="00075750" w:rsidRPr="000E05A8">
        <w:rPr>
          <w:sz w:val="22"/>
          <w:szCs w:val="22"/>
          <w:lang w:val="uk-UA"/>
        </w:rPr>
        <w:t xml:space="preserve"> </w:t>
      </w:r>
      <w:r w:rsidR="00E161C6" w:rsidRPr="000E05A8">
        <w:rPr>
          <w:sz w:val="22"/>
          <w:szCs w:val="22"/>
          <w:lang w:val="uk-UA"/>
        </w:rPr>
        <w:t xml:space="preserve">150,00 </w:t>
      </w:r>
      <w:r w:rsidR="00E161C6" w:rsidRPr="000E05A8">
        <w:rPr>
          <w:sz w:val="22"/>
          <w:szCs w:val="22"/>
          <w:lang w:val="en-US"/>
        </w:rPr>
        <w:t>USD</w:t>
      </w:r>
      <w:r w:rsidRPr="000E05A8">
        <w:rPr>
          <w:sz w:val="22"/>
          <w:szCs w:val="22"/>
          <w:lang w:val="uk-UA"/>
        </w:rPr>
        <w:t xml:space="preserve"> за одиницю</w:t>
      </w:r>
      <w:r w:rsidR="00752554" w:rsidRPr="000E05A8">
        <w:rPr>
          <w:bCs/>
          <w:spacing w:val="-2"/>
          <w:sz w:val="22"/>
          <w:szCs w:val="22"/>
          <w:lang w:val="uk-UA"/>
        </w:rPr>
        <w:t xml:space="preserve">.  </w:t>
      </w:r>
    </w:p>
    <w:p w14:paraId="5A4851F5" w14:textId="34BE8227" w:rsidR="00752554" w:rsidRPr="000E05A8" w:rsidRDefault="00752554" w:rsidP="00794809">
      <w:pPr>
        <w:shd w:val="clear" w:color="auto" w:fill="FFFFFF"/>
        <w:ind w:firstLine="709"/>
        <w:jc w:val="both"/>
        <w:rPr>
          <w:spacing w:val="-3"/>
          <w:sz w:val="22"/>
          <w:szCs w:val="22"/>
          <w:lang w:val="uk-UA"/>
        </w:rPr>
      </w:pPr>
      <w:r w:rsidRPr="000E05A8">
        <w:rPr>
          <w:bCs/>
          <w:i/>
          <w:iCs/>
          <w:spacing w:val="-2"/>
          <w:sz w:val="22"/>
          <w:szCs w:val="22"/>
          <w:u w:val="single"/>
          <w:lang w:val="uk-UA"/>
        </w:rPr>
        <w:t>Склад та вартість портфелю фінансових інструментів на дату балансу:</w:t>
      </w:r>
      <w:r w:rsidRPr="000E05A8">
        <w:rPr>
          <w:bCs/>
          <w:spacing w:val="-2"/>
          <w:sz w:val="22"/>
          <w:szCs w:val="22"/>
          <w:lang w:val="uk-UA"/>
        </w:rPr>
        <w:t xml:space="preserve"> </w:t>
      </w:r>
      <w:r w:rsidR="00A26288" w:rsidRPr="000E05A8">
        <w:rPr>
          <w:bCs/>
          <w:spacing w:val="-2"/>
          <w:sz w:val="22"/>
          <w:szCs w:val="22"/>
          <w:lang w:val="uk-UA"/>
        </w:rPr>
        <w:t>с</w:t>
      </w:r>
      <w:r w:rsidRPr="000E05A8">
        <w:rPr>
          <w:bCs/>
          <w:spacing w:val="-2"/>
          <w:sz w:val="22"/>
          <w:szCs w:val="22"/>
          <w:lang w:val="uk-UA"/>
        </w:rPr>
        <w:t xml:space="preserve">таном на </w:t>
      </w:r>
      <w:r w:rsidR="00980979" w:rsidRPr="000E05A8">
        <w:rPr>
          <w:bCs/>
          <w:spacing w:val="-2"/>
          <w:sz w:val="22"/>
          <w:szCs w:val="22"/>
          <w:lang w:val="uk-UA"/>
        </w:rPr>
        <w:t>31.03.2021</w:t>
      </w:r>
      <w:r w:rsidRPr="000E05A8">
        <w:rPr>
          <w:bCs/>
          <w:spacing w:val="-2"/>
          <w:sz w:val="22"/>
          <w:szCs w:val="22"/>
          <w:lang w:val="uk-UA"/>
        </w:rPr>
        <w:t xml:space="preserve"> року на балансі Товариства обліковувались облігації </w:t>
      </w:r>
      <w:r w:rsidR="00546F9B" w:rsidRPr="000E05A8">
        <w:rPr>
          <w:bCs/>
          <w:spacing w:val="-2"/>
          <w:sz w:val="22"/>
          <w:szCs w:val="22"/>
          <w:lang w:val="uk-UA"/>
        </w:rPr>
        <w:t>зовнішньої</w:t>
      </w:r>
      <w:r w:rsidRPr="000E05A8">
        <w:rPr>
          <w:bCs/>
          <w:spacing w:val="-2"/>
          <w:sz w:val="22"/>
          <w:szCs w:val="22"/>
          <w:lang w:val="uk-UA"/>
        </w:rPr>
        <w:t xml:space="preserve"> державної позики (м</w:t>
      </w:r>
      <w:r w:rsidRPr="000E05A8">
        <w:rPr>
          <w:sz w:val="22"/>
          <w:szCs w:val="22"/>
          <w:lang w:val="uk-UA"/>
        </w:rPr>
        <w:t>іжнародний код цінного паперу (ISIN)</w:t>
      </w:r>
      <w:r w:rsidR="00E334EC" w:rsidRPr="000E05A8">
        <w:rPr>
          <w:rFonts w:eastAsiaTheme="minorEastAsia"/>
          <w:sz w:val="22"/>
          <w:szCs w:val="22"/>
          <w:lang w:val="uk-UA"/>
        </w:rPr>
        <w:t xml:space="preserve"> </w:t>
      </w:r>
      <w:r w:rsidR="00E334EC" w:rsidRPr="000E05A8">
        <w:rPr>
          <w:rFonts w:eastAsiaTheme="minorEastAsia"/>
          <w:sz w:val="22"/>
          <w:szCs w:val="22"/>
          <w:lang w:val="en-US"/>
        </w:rPr>
        <w:t>XS</w:t>
      </w:r>
      <w:r w:rsidR="00E334EC" w:rsidRPr="000E05A8">
        <w:rPr>
          <w:rFonts w:eastAsiaTheme="minorEastAsia"/>
          <w:sz w:val="22"/>
          <w:szCs w:val="22"/>
          <w:lang w:val="uk-UA"/>
        </w:rPr>
        <w:t>1303926528</w:t>
      </w:r>
      <w:r w:rsidRPr="000E05A8">
        <w:rPr>
          <w:spacing w:val="-3"/>
          <w:sz w:val="22"/>
          <w:szCs w:val="22"/>
          <w:lang w:val="uk-UA"/>
        </w:rPr>
        <w:t xml:space="preserve">) в кількості </w:t>
      </w:r>
      <w:r w:rsidR="00E334EC" w:rsidRPr="000E05A8">
        <w:rPr>
          <w:spacing w:val="-3"/>
          <w:sz w:val="22"/>
          <w:szCs w:val="22"/>
          <w:lang w:val="uk-UA"/>
        </w:rPr>
        <w:t>215</w:t>
      </w:r>
      <w:r w:rsidRPr="000E05A8">
        <w:rPr>
          <w:spacing w:val="-3"/>
          <w:sz w:val="22"/>
          <w:szCs w:val="22"/>
          <w:lang w:val="uk-UA"/>
        </w:rPr>
        <w:t xml:space="preserve"> штук, номінальною вартістю 1</w:t>
      </w:r>
      <w:r w:rsidR="008225BC" w:rsidRPr="000E05A8">
        <w:rPr>
          <w:spacing w:val="-3"/>
          <w:sz w:val="22"/>
          <w:szCs w:val="22"/>
          <w:lang w:val="uk-UA"/>
        </w:rPr>
        <w:t> </w:t>
      </w:r>
      <w:r w:rsidRPr="000E05A8">
        <w:rPr>
          <w:spacing w:val="-3"/>
          <w:sz w:val="22"/>
          <w:szCs w:val="22"/>
          <w:lang w:val="uk-UA"/>
        </w:rPr>
        <w:t>000</w:t>
      </w:r>
      <w:r w:rsidR="008225BC" w:rsidRPr="000E05A8">
        <w:rPr>
          <w:spacing w:val="-3"/>
          <w:sz w:val="22"/>
          <w:szCs w:val="22"/>
          <w:lang w:val="uk-UA"/>
        </w:rPr>
        <w:t>,</w:t>
      </w:r>
      <w:r w:rsidRPr="000E05A8">
        <w:rPr>
          <w:spacing w:val="-3"/>
          <w:sz w:val="22"/>
          <w:szCs w:val="22"/>
          <w:lang w:val="uk-UA"/>
        </w:rPr>
        <w:t xml:space="preserve">00 </w:t>
      </w:r>
      <w:r w:rsidR="00E334EC" w:rsidRPr="000E05A8">
        <w:rPr>
          <w:sz w:val="22"/>
          <w:szCs w:val="22"/>
          <w:lang w:val="en-US"/>
        </w:rPr>
        <w:t>USD</w:t>
      </w:r>
      <w:r w:rsidRPr="000E05A8">
        <w:rPr>
          <w:spacing w:val="-3"/>
          <w:sz w:val="22"/>
          <w:szCs w:val="22"/>
          <w:lang w:val="uk-UA"/>
        </w:rPr>
        <w:t xml:space="preserve">. Вартість придбання пакету </w:t>
      </w:r>
      <w:r w:rsidR="00137673" w:rsidRPr="000E05A8">
        <w:rPr>
          <w:spacing w:val="-3"/>
          <w:sz w:val="22"/>
          <w:szCs w:val="22"/>
          <w:lang w:val="uk-UA"/>
        </w:rPr>
        <w:t>ОЗДП</w:t>
      </w:r>
      <w:r w:rsidRPr="000E05A8">
        <w:rPr>
          <w:spacing w:val="-3"/>
          <w:sz w:val="22"/>
          <w:szCs w:val="22"/>
          <w:lang w:val="uk-UA"/>
        </w:rPr>
        <w:t xml:space="preserve"> склала </w:t>
      </w:r>
      <w:r w:rsidR="00E334EC" w:rsidRPr="000E05A8">
        <w:rPr>
          <w:sz w:val="22"/>
          <w:szCs w:val="22"/>
          <w:lang w:val="uk-UA"/>
        </w:rPr>
        <w:t>6</w:t>
      </w:r>
      <w:r w:rsidR="003420D1" w:rsidRPr="000E05A8">
        <w:rPr>
          <w:sz w:val="22"/>
          <w:szCs w:val="22"/>
          <w:lang w:val="uk-UA"/>
        </w:rPr>
        <w:t xml:space="preserve"> </w:t>
      </w:r>
      <w:r w:rsidR="00E334EC" w:rsidRPr="000E05A8">
        <w:rPr>
          <w:sz w:val="22"/>
          <w:szCs w:val="22"/>
          <w:lang w:val="uk-UA"/>
        </w:rPr>
        <w:t>99</w:t>
      </w:r>
      <w:r w:rsidR="00EE27F4" w:rsidRPr="000E05A8">
        <w:rPr>
          <w:sz w:val="22"/>
          <w:szCs w:val="22"/>
        </w:rPr>
        <w:t>9</w:t>
      </w:r>
      <w:r w:rsidRPr="000E05A8">
        <w:rPr>
          <w:spacing w:val="-3"/>
          <w:sz w:val="22"/>
          <w:szCs w:val="22"/>
          <w:lang w:val="uk-UA"/>
        </w:rPr>
        <w:t xml:space="preserve"> тис. грн.</w:t>
      </w:r>
      <w:r w:rsidR="00EE27F4" w:rsidRPr="000E05A8">
        <w:rPr>
          <w:spacing w:val="-3"/>
          <w:sz w:val="22"/>
          <w:szCs w:val="22"/>
        </w:rPr>
        <w:t xml:space="preserve"> (</w:t>
      </w:r>
      <w:r w:rsidR="00477B50" w:rsidRPr="000E05A8">
        <w:rPr>
          <w:rFonts w:eastAsiaTheme="minorEastAsia"/>
          <w:sz w:val="22"/>
          <w:szCs w:val="22"/>
          <w:lang w:val="uk-UA"/>
        </w:rPr>
        <w:t>що є еквівалентом 247 250,00 дол. США (двісті сорок сім тисяч двісті п’ятдесят доларів 00 центів) по офіційному курсу НБУ, встановленому на дату укладення Договору</w:t>
      </w:r>
      <w:r w:rsidR="008225BC" w:rsidRPr="000E05A8">
        <w:rPr>
          <w:spacing w:val="-3"/>
          <w:sz w:val="22"/>
          <w:szCs w:val="22"/>
          <w:lang w:val="uk-UA"/>
        </w:rPr>
        <w:t>.</w:t>
      </w:r>
      <w:r w:rsidRPr="000E05A8">
        <w:rPr>
          <w:spacing w:val="-3"/>
          <w:sz w:val="22"/>
          <w:szCs w:val="22"/>
          <w:lang w:val="uk-UA"/>
        </w:rPr>
        <w:t xml:space="preserve"> </w:t>
      </w:r>
      <w:r w:rsidR="008225BC" w:rsidRPr="000E05A8">
        <w:rPr>
          <w:spacing w:val="-3"/>
          <w:sz w:val="22"/>
          <w:szCs w:val="22"/>
          <w:lang w:val="uk-UA"/>
        </w:rPr>
        <w:t>С</w:t>
      </w:r>
      <w:r w:rsidRPr="000E05A8">
        <w:rPr>
          <w:spacing w:val="-3"/>
          <w:sz w:val="22"/>
          <w:szCs w:val="22"/>
          <w:lang w:val="uk-UA"/>
        </w:rPr>
        <w:t xml:space="preserve">праведлива вартість </w:t>
      </w:r>
      <w:r w:rsidR="00CF70A5" w:rsidRPr="000E05A8">
        <w:rPr>
          <w:spacing w:val="-3"/>
          <w:sz w:val="22"/>
          <w:szCs w:val="22"/>
          <w:lang w:val="uk-UA"/>
        </w:rPr>
        <w:t xml:space="preserve">ОЗДП </w:t>
      </w:r>
      <w:r w:rsidRPr="000E05A8">
        <w:rPr>
          <w:spacing w:val="-3"/>
          <w:sz w:val="22"/>
          <w:szCs w:val="22"/>
          <w:lang w:val="uk-UA"/>
        </w:rPr>
        <w:t xml:space="preserve">на дату балансу становить </w:t>
      </w:r>
      <w:r w:rsidR="00CB77F2" w:rsidRPr="000E05A8">
        <w:rPr>
          <w:sz w:val="22"/>
          <w:szCs w:val="22"/>
          <w:lang w:val="uk-UA"/>
        </w:rPr>
        <w:t>6 895</w:t>
      </w:r>
      <w:r w:rsidR="00E0122C" w:rsidRPr="000E05A8">
        <w:rPr>
          <w:spacing w:val="-3"/>
          <w:sz w:val="22"/>
          <w:szCs w:val="22"/>
          <w:lang w:val="uk-UA"/>
        </w:rPr>
        <w:t xml:space="preserve"> тис. грн.</w:t>
      </w:r>
      <w:r w:rsidR="00477B50" w:rsidRPr="000E05A8">
        <w:rPr>
          <w:spacing w:val="-3"/>
          <w:sz w:val="22"/>
          <w:szCs w:val="22"/>
          <w:lang w:val="uk-UA"/>
        </w:rPr>
        <w:t>,</w:t>
      </w:r>
      <w:r w:rsidR="00E0122C" w:rsidRPr="000E05A8">
        <w:rPr>
          <w:spacing w:val="-3"/>
          <w:sz w:val="22"/>
          <w:szCs w:val="22"/>
          <w:lang w:val="uk-UA"/>
        </w:rPr>
        <w:t xml:space="preserve"> </w:t>
      </w:r>
      <w:r w:rsidR="00477B50" w:rsidRPr="000E05A8">
        <w:rPr>
          <w:spacing w:val="-3"/>
          <w:sz w:val="22"/>
          <w:szCs w:val="22"/>
          <w:lang w:val="uk-UA"/>
        </w:rPr>
        <w:t>збиток</w:t>
      </w:r>
      <w:r w:rsidR="00E0122C" w:rsidRPr="000E05A8">
        <w:rPr>
          <w:spacing w:val="-3"/>
          <w:sz w:val="22"/>
          <w:szCs w:val="22"/>
          <w:lang w:val="uk-UA"/>
        </w:rPr>
        <w:t xml:space="preserve"> </w:t>
      </w:r>
      <w:r w:rsidR="00235D5C" w:rsidRPr="000E05A8">
        <w:rPr>
          <w:spacing w:val="-3"/>
          <w:sz w:val="22"/>
          <w:szCs w:val="22"/>
          <w:lang w:val="uk-UA"/>
        </w:rPr>
        <w:t>від змін валютного курсу з моменту</w:t>
      </w:r>
      <w:r w:rsidR="00595255" w:rsidRPr="000E05A8">
        <w:rPr>
          <w:spacing w:val="-3"/>
          <w:sz w:val="22"/>
          <w:szCs w:val="22"/>
          <w:lang w:val="uk-UA"/>
        </w:rPr>
        <w:t xml:space="preserve"> придбання становить -</w:t>
      </w:r>
      <w:r w:rsidR="00F11C81" w:rsidRPr="000E05A8">
        <w:rPr>
          <w:spacing w:val="-3"/>
          <w:sz w:val="22"/>
          <w:szCs w:val="22"/>
        </w:rPr>
        <w:t>104</w:t>
      </w:r>
      <w:r w:rsidRPr="000E05A8">
        <w:rPr>
          <w:spacing w:val="-3"/>
          <w:sz w:val="22"/>
          <w:szCs w:val="22"/>
          <w:lang w:val="uk-UA"/>
        </w:rPr>
        <w:t xml:space="preserve"> тис. грн.</w:t>
      </w:r>
      <w:r w:rsidR="00F35D63" w:rsidRPr="000E05A8">
        <w:rPr>
          <w:spacing w:val="-3"/>
          <w:sz w:val="22"/>
          <w:szCs w:val="22"/>
          <w:lang w:val="uk-UA"/>
        </w:rPr>
        <w:t xml:space="preserve"> </w:t>
      </w:r>
      <w:r w:rsidR="00045965" w:rsidRPr="000E05A8">
        <w:rPr>
          <w:spacing w:val="-3"/>
          <w:sz w:val="22"/>
          <w:szCs w:val="22"/>
          <w:lang w:val="uk-UA"/>
        </w:rPr>
        <w:t xml:space="preserve"> Облігації обліковуються як валютні і тому </w:t>
      </w:r>
      <w:r w:rsidR="00620057" w:rsidRPr="000E05A8">
        <w:rPr>
          <w:spacing w:val="-3"/>
          <w:sz w:val="22"/>
          <w:szCs w:val="22"/>
          <w:lang w:val="uk-UA"/>
        </w:rPr>
        <w:t>з 01.01.2021 року по 31.</w:t>
      </w:r>
      <w:r w:rsidR="00577440" w:rsidRPr="000E05A8">
        <w:rPr>
          <w:spacing w:val="-3"/>
          <w:sz w:val="22"/>
          <w:szCs w:val="22"/>
          <w:lang w:val="uk-UA"/>
        </w:rPr>
        <w:t>0</w:t>
      </w:r>
      <w:r w:rsidR="00620057" w:rsidRPr="000E05A8">
        <w:rPr>
          <w:spacing w:val="-3"/>
          <w:sz w:val="22"/>
          <w:szCs w:val="22"/>
          <w:lang w:val="uk-UA"/>
        </w:rPr>
        <w:t>3.2021 року</w:t>
      </w:r>
      <w:r w:rsidR="00577440" w:rsidRPr="000E05A8">
        <w:rPr>
          <w:spacing w:val="-3"/>
          <w:sz w:val="22"/>
          <w:szCs w:val="22"/>
          <w:lang w:val="uk-UA"/>
        </w:rPr>
        <w:t>,</w:t>
      </w:r>
      <w:r w:rsidR="00753417" w:rsidRPr="000E05A8">
        <w:rPr>
          <w:spacing w:val="-3"/>
          <w:sz w:val="22"/>
          <w:szCs w:val="22"/>
          <w:lang w:val="uk-UA"/>
        </w:rPr>
        <w:t xml:space="preserve"> були переоцінені згідно </w:t>
      </w:r>
      <w:r w:rsidR="00577440" w:rsidRPr="000E05A8">
        <w:rPr>
          <w:spacing w:val="-3"/>
          <w:sz w:val="22"/>
          <w:szCs w:val="22"/>
          <w:lang w:val="uk-UA"/>
        </w:rPr>
        <w:t xml:space="preserve">діючого </w:t>
      </w:r>
      <w:r w:rsidR="00012C0B" w:rsidRPr="000E05A8">
        <w:rPr>
          <w:spacing w:val="-3"/>
          <w:sz w:val="22"/>
          <w:szCs w:val="22"/>
          <w:lang w:val="uk-UA"/>
        </w:rPr>
        <w:t xml:space="preserve">курсу НБУ </w:t>
      </w:r>
      <w:r w:rsidR="00014077" w:rsidRPr="000E05A8">
        <w:rPr>
          <w:spacing w:val="-3"/>
          <w:sz w:val="22"/>
          <w:szCs w:val="22"/>
          <w:lang w:val="uk-UA"/>
        </w:rPr>
        <w:t>(</w:t>
      </w:r>
      <w:r w:rsidR="00CB77F2" w:rsidRPr="000E05A8">
        <w:rPr>
          <w:spacing w:val="-3"/>
          <w:sz w:val="22"/>
          <w:szCs w:val="22"/>
          <w:lang w:val="uk-UA"/>
        </w:rPr>
        <w:t>27,8852</w:t>
      </w:r>
      <w:r w:rsidR="001D280C" w:rsidRPr="000E05A8">
        <w:rPr>
          <w:spacing w:val="-3"/>
          <w:sz w:val="22"/>
          <w:szCs w:val="22"/>
          <w:lang w:val="uk-UA"/>
        </w:rPr>
        <w:t xml:space="preserve"> </w:t>
      </w:r>
      <w:r w:rsidR="008C2BAC" w:rsidRPr="000E05A8">
        <w:rPr>
          <w:spacing w:val="-3"/>
          <w:sz w:val="22"/>
          <w:szCs w:val="22"/>
          <w:lang w:val="uk-UA"/>
        </w:rPr>
        <w:t>грн за 1 дол. США)</w:t>
      </w:r>
      <w:r w:rsidR="00014077" w:rsidRPr="000E05A8">
        <w:rPr>
          <w:spacing w:val="-3"/>
          <w:sz w:val="22"/>
          <w:szCs w:val="22"/>
          <w:lang w:val="uk-UA"/>
        </w:rPr>
        <w:t>, у результаті</w:t>
      </w:r>
      <w:r w:rsidR="00535D60" w:rsidRPr="000E05A8">
        <w:rPr>
          <w:spacing w:val="-3"/>
          <w:sz w:val="22"/>
          <w:szCs w:val="22"/>
          <w:lang w:val="uk-UA"/>
        </w:rPr>
        <w:t xml:space="preserve"> був понесений</w:t>
      </w:r>
      <w:r w:rsidR="00F04246" w:rsidRPr="000E05A8">
        <w:rPr>
          <w:spacing w:val="-3"/>
          <w:sz w:val="22"/>
          <w:szCs w:val="22"/>
          <w:lang w:val="uk-UA"/>
        </w:rPr>
        <w:t xml:space="preserve"> збиток на суму 96 тис.грн.</w:t>
      </w:r>
    </w:p>
    <w:p w14:paraId="237CF90D" w14:textId="14CC73B4"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 xml:space="preserve">Стислий опис </w:t>
      </w:r>
      <w:r w:rsidR="00AA6F02" w:rsidRPr="000E05A8">
        <w:rPr>
          <w:sz w:val="22"/>
          <w:szCs w:val="22"/>
          <w:lang w:val="uk-UA"/>
        </w:rPr>
        <w:t>офіційної емісії</w:t>
      </w:r>
      <w:r w:rsidRPr="000E05A8">
        <w:rPr>
          <w:sz w:val="22"/>
          <w:szCs w:val="22"/>
          <w:lang w:val="uk-UA"/>
        </w:rPr>
        <w:t xml:space="preserve"> за елементами міст</w:t>
      </w:r>
      <w:r w:rsidR="00D76D42" w:rsidRPr="000E05A8">
        <w:rPr>
          <w:sz w:val="22"/>
          <w:szCs w:val="22"/>
          <w:lang w:val="uk-UA"/>
        </w:rPr>
        <w:t>и</w:t>
      </w:r>
      <w:r w:rsidRPr="000E05A8">
        <w:rPr>
          <w:sz w:val="22"/>
          <w:szCs w:val="22"/>
          <w:lang w:val="uk-UA"/>
        </w:rPr>
        <w:t>ться у таблиці</w:t>
      </w:r>
      <w:r w:rsidR="001C2510" w:rsidRPr="000E05A8">
        <w:rPr>
          <w:sz w:val="22"/>
          <w:szCs w:val="22"/>
          <w:lang w:val="uk-UA"/>
        </w:rPr>
        <w:t>, яка</w:t>
      </w:r>
      <w:r w:rsidRPr="000E05A8">
        <w:rPr>
          <w:sz w:val="22"/>
          <w:szCs w:val="22"/>
          <w:lang w:val="uk-UA"/>
        </w:rPr>
        <w:t xml:space="preserve"> наведен</w:t>
      </w:r>
      <w:r w:rsidR="001C2510" w:rsidRPr="000E05A8">
        <w:rPr>
          <w:sz w:val="22"/>
          <w:szCs w:val="22"/>
          <w:lang w:val="uk-UA"/>
        </w:rPr>
        <w:t>а</w:t>
      </w:r>
      <w:r w:rsidRPr="000E05A8">
        <w:rPr>
          <w:sz w:val="22"/>
          <w:szCs w:val="22"/>
          <w:lang w:val="uk-UA"/>
        </w:rPr>
        <w:t xml:space="preserve"> нижче:</w:t>
      </w: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2"/>
        <w:gridCol w:w="1954"/>
        <w:gridCol w:w="1912"/>
        <w:gridCol w:w="1268"/>
        <w:gridCol w:w="1452"/>
        <w:gridCol w:w="1533"/>
      </w:tblGrid>
      <w:tr w:rsidR="00B47157" w:rsidRPr="00AC1830" w14:paraId="159B6D0D" w14:textId="77777777" w:rsidTr="00B47157">
        <w:tc>
          <w:tcPr>
            <w:tcW w:w="1902" w:type="dxa"/>
          </w:tcPr>
          <w:p w14:paraId="0C6B216C" w14:textId="77777777" w:rsidR="00B47157" w:rsidRPr="00AC1830" w:rsidRDefault="00B47157" w:rsidP="00BD4004">
            <w:pPr>
              <w:ind w:left="318" w:hanging="318"/>
              <w:jc w:val="center"/>
              <w:rPr>
                <w:b/>
                <w:bCs/>
                <w:sz w:val="20"/>
                <w:szCs w:val="20"/>
                <w:lang w:val="uk-UA"/>
              </w:rPr>
            </w:pPr>
            <w:r w:rsidRPr="00AC1830">
              <w:rPr>
                <w:b/>
                <w:bCs/>
                <w:sz w:val="20"/>
                <w:szCs w:val="20"/>
                <w:lang w:val="uk-UA"/>
              </w:rPr>
              <w:t>Міжнародний код цінного паперу (ISIN)</w:t>
            </w:r>
          </w:p>
        </w:tc>
        <w:tc>
          <w:tcPr>
            <w:tcW w:w="1954" w:type="dxa"/>
          </w:tcPr>
          <w:p w14:paraId="04EDDA78" w14:textId="77777777" w:rsidR="00B47157" w:rsidRPr="00AC1830" w:rsidRDefault="00B47157" w:rsidP="001E7395">
            <w:pPr>
              <w:jc w:val="center"/>
              <w:rPr>
                <w:b/>
                <w:bCs/>
                <w:sz w:val="20"/>
                <w:szCs w:val="20"/>
                <w:lang w:val="uk-UA"/>
              </w:rPr>
            </w:pPr>
            <w:r w:rsidRPr="00AC1830">
              <w:rPr>
                <w:b/>
                <w:bCs/>
                <w:sz w:val="20"/>
                <w:szCs w:val="20"/>
                <w:lang w:val="uk-UA"/>
              </w:rPr>
              <w:t>Тип, вид</w:t>
            </w:r>
          </w:p>
        </w:tc>
        <w:tc>
          <w:tcPr>
            <w:tcW w:w="1912" w:type="dxa"/>
          </w:tcPr>
          <w:p w14:paraId="061D588E" w14:textId="207ED525" w:rsidR="00B47157" w:rsidRPr="00AC1830" w:rsidRDefault="00B47157" w:rsidP="00BD4004">
            <w:pPr>
              <w:jc w:val="center"/>
              <w:rPr>
                <w:b/>
                <w:bCs/>
                <w:sz w:val="20"/>
                <w:szCs w:val="20"/>
                <w:lang w:val="uk-UA"/>
              </w:rPr>
            </w:pPr>
            <w:r w:rsidRPr="00AC1830">
              <w:rPr>
                <w:b/>
                <w:bCs/>
                <w:sz w:val="20"/>
                <w:szCs w:val="20"/>
                <w:lang w:val="uk-UA"/>
              </w:rPr>
              <w:t>Кількість, шт.</w:t>
            </w:r>
          </w:p>
        </w:tc>
        <w:tc>
          <w:tcPr>
            <w:tcW w:w="1268" w:type="dxa"/>
          </w:tcPr>
          <w:p w14:paraId="33E2E3D8" w14:textId="1067A379" w:rsidR="00B47157" w:rsidRPr="00AC1830" w:rsidRDefault="00B47157" w:rsidP="00BD4004">
            <w:pPr>
              <w:jc w:val="center"/>
              <w:rPr>
                <w:b/>
                <w:bCs/>
                <w:sz w:val="20"/>
                <w:szCs w:val="20"/>
                <w:lang w:val="uk-UA"/>
              </w:rPr>
            </w:pPr>
            <w:r w:rsidRPr="00AC1830">
              <w:rPr>
                <w:b/>
                <w:bCs/>
                <w:sz w:val="20"/>
                <w:szCs w:val="20"/>
                <w:lang w:val="uk-UA"/>
              </w:rPr>
              <w:t xml:space="preserve">Номінал, валюта, </w:t>
            </w:r>
            <w:r w:rsidRPr="00AC1830">
              <w:rPr>
                <w:b/>
                <w:bCs/>
                <w:sz w:val="20"/>
                <w:szCs w:val="20"/>
                <w:lang w:val="en-US"/>
              </w:rPr>
              <w:t>USD</w:t>
            </w:r>
            <w:r w:rsidRPr="00AC1830">
              <w:rPr>
                <w:b/>
                <w:bCs/>
                <w:sz w:val="20"/>
                <w:szCs w:val="20"/>
                <w:lang w:val="uk-UA"/>
              </w:rPr>
              <w:t>.</w:t>
            </w:r>
          </w:p>
        </w:tc>
        <w:tc>
          <w:tcPr>
            <w:tcW w:w="1452" w:type="dxa"/>
          </w:tcPr>
          <w:p w14:paraId="224B9C6E" w14:textId="72F718B8" w:rsidR="00B47157" w:rsidRPr="00AC1830" w:rsidRDefault="00B47157" w:rsidP="00BD4004">
            <w:pPr>
              <w:jc w:val="center"/>
              <w:rPr>
                <w:b/>
                <w:bCs/>
                <w:sz w:val="20"/>
                <w:szCs w:val="20"/>
                <w:lang w:val="uk-UA"/>
              </w:rPr>
            </w:pPr>
            <w:r w:rsidRPr="00AC1830">
              <w:rPr>
                <w:b/>
                <w:bCs/>
                <w:sz w:val="20"/>
                <w:szCs w:val="20"/>
                <w:lang w:val="uk-UA"/>
              </w:rPr>
              <w:t>Ставка купона, річних</w:t>
            </w:r>
          </w:p>
        </w:tc>
        <w:tc>
          <w:tcPr>
            <w:tcW w:w="1533" w:type="dxa"/>
          </w:tcPr>
          <w:p w14:paraId="49BCDBF6" w14:textId="04CF545A" w:rsidR="00B47157" w:rsidRPr="00AC1830" w:rsidRDefault="00B47157" w:rsidP="00BD4004">
            <w:pPr>
              <w:jc w:val="center"/>
              <w:rPr>
                <w:b/>
                <w:bCs/>
                <w:sz w:val="20"/>
                <w:szCs w:val="20"/>
                <w:lang w:val="uk-UA"/>
              </w:rPr>
            </w:pPr>
            <w:r w:rsidRPr="00AC1830">
              <w:rPr>
                <w:b/>
                <w:bCs/>
                <w:sz w:val="20"/>
                <w:szCs w:val="20"/>
                <w:lang w:val="uk-UA"/>
              </w:rPr>
              <w:t>Кількість виплат на рік</w:t>
            </w:r>
          </w:p>
        </w:tc>
      </w:tr>
      <w:tr w:rsidR="00B47157" w:rsidRPr="00AC1830" w14:paraId="3E757190" w14:textId="77777777" w:rsidTr="00B47157">
        <w:tc>
          <w:tcPr>
            <w:tcW w:w="1902" w:type="dxa"/>
          </w:tcPr>
          <w:p w14:paraId="06B33636" w14:textId="1D20E0A8" w:rsidR="00B47157" w:rsidRPr="00AC1830" w:rsidRDefault="00B47157" w:rsidP="001E7395">
            <w:pPr>
              <w:autoSpaceDE w:val="0"/>
              <w:autoSpaceDN w:val="0"/>
              <w:adjustRightInd w:val="0"/>
              <w:jc w:val="center"/>
              <w:rPr>
                <w:spacing w:val="-3"/>
                <w:sz w:val="20"/>
                <w:szCs w:val="20"/>
                <w:lang w:val="uk-UA"/>
              </w:rPr>
            </w:pPr>
            <w:r w:rsidRPr="00AC1830">
              <w:rPr>
                <w:rFonts w:eastAsiaTheme="minorEastAsia"/>
                <w:sz w:val="20"/>
                <w:szCs w:val="20"/>
                <w:lang w:val="en-US"/>
              </w:rPr>
              <w:t>XS</w:t>
            </w:r>
            <w:r w:rsidRPr="00AC1830">
              <w:rPr>
                <w:rFonts w:eastAsiaTheme="minorEastAsia"/>
                <w:sz w:val="20"/>
                <w:szCs w:val="20"/>
                <w:lang w:val="uk-UA"/>
              </w:rPr>
              <w:t>1303926528</w:t>
            </w:r>
          </w:p>
        </w:tc>
        <w:tc>
          <w:tcPr>
            <w:tcW w:w="1954" w:type="dxa"/>
          </w:tcPr>
          <w:p w14:paraId="243368B8" w14:textId="4A14F018" w:rsidR="00B47157" w:rsidRPr="00AC1830" w:rsidRDefault="00B47157" w:rsidP="001E7395">
            <w:pPr>
              <w:autoSpaceDE w:val="0"/>
              <w:autoSpaceDN w:val="0"/>
              <w:adjustRightInd w:val="0"/>
              <w:jc w:val="center"/>
              <w:rPr>
                <w:spacing w:val="-3"/>
                <w:sz w:val="20"/>
                <w:szCs w:val="20"/>
                <w:lang w:val="uk-UA"/>
              </w:rPr>
            </w:pPr>
            <w:r w:rsidRPr="00AC1830">
              <w:rPr>
                <w:rFonts w:eastAsiaTheme="minorEastAsia"/>
                <w:sz w:val="20"/>
                <w:szCs w:val="20"/>
                <w:lang w:val="uk-UA"/>
              </w:rPr>
              <w:t>Облігації зовнішніх державних позик довгострокові відсоткові іменні</w:t>
            </w:r>
          </w:p>
        </w:tc>
        <w:tc>
          <w:tcPr>
            <w:tcW w:w="1912" w:type="dxa"/>
          </w:tcPr>
          <w:p w14:paraId="0F688D8D" w14:textId="3EF4EDC7" w:rsidR="00B47157" w:rsidRPr="00AC1830" w:rsidRDefault="00B47157" w:rsidP="001E7395">
            <w:pPr>
              <w:autoSpaceDE w:val="0"/>
              <w:autoSpaceDN w:val="0"/>
              <w:adjustRightInd w:val="0"/>
              <w:jc w:val="center"/>
              <w:rPr>
                <w:spacing w:val="-3"/>
                <w:sz w:val="20"/>
                <w:szCs w:val="20"/>
                <w:lang w:val="uk-UA"/>
              </w:rPr>
            </w:pPr>
            <w:r w:rsidRPr="00AC1830">
              <w:rPr>
                <w:spacing w:val="-3"/>
                <w:sz w:val="20"/>
                <w:szCs w:val="20"/>
                <w:lang w:val="uk-UA"/>
              </w:rPr>
              <w:t>215</w:t>
            </w:r>
          </w:p>
        </w:tc>
        <w:tc>
          <w:tcPr>
            <w:tcW w:w="1268" w:type="dxa"/>
          </w:tcPr>
          <w:p w14:paraId="63453009" w14:textId="192DE2EF" w:rsidR="00B47157" w:rsidRPr="00AC1830" w:rsidRDefault="00B47157" w:rsidP="001E7395">
            <w:pPr>
              <w:autoSpaceDE w:val="0"/>
              <w:autoSpaceDN w:val="0"/>
              <w:adjustRightInd w:val="0"/>
              <w:jc w:val="center"/>
              <w:rPr>
                <w:spacing w:val="-3"/>
                <w:sz w:val="20"/>
                <w:szCs w:val="20"/>
                <w:lang w:val="uk-UA"/>
              </w:rPr>
            </w:pPr>
            <w:r w:rsidRPr="00AC1830">
              <w:rPr>
                <w:spacing w:val="-3"/>
                <w:sz w:val="20"/>
                <w:szCs w:val="20"/>
                <w:lang w:val="uk-UA"/>
              </w:rPr>
              <w:t>1</w:t>
            </w:r>
            <w:r w:rsidR="00BD4004" w:rsidRPr="00AC1830">
              <w:rPr>
                <w:spacing w:val="-3"/>
                <w:sz w:val="20"/>
                <w:szCs w:val="20"/>
                <w:lang w:val="uk-UA"/>
              </w:rPr>
              <w:t xml:space="preserve"> </w:t>
            </w:r>
            <w:r w:rsidRPr="00AC1830">
              <w:rPr>
                <w:spacing w:val="-3"/>
                <w:sz w:val="20"/>
                <w:szCs w:val="20"/>
                <w:lang w:val="uk-UA"/>
              </w:rPr>
              <w:t>000.00</w:t>
            </w:r>
          </w:p>
        </w:tc>
        <w:tc>
          <w:tcPr>
            <w:tcW w:w="1452" w:type="dxa"/>
          </w:tcPr>
          <w:p w14:paraId="7050B743" w14:textId="641692E0" w:rsidR="00B47157" w:rsidRPr="00AC1830" w:rsidRDefault="00B47157" w:rsidP="001E7395">
            <w:pPr>
              <w:autoSpaceDE w:val="0"/>
              <w:autoSpaceDN w:val="0"/>
              <w:adjustRightInd w:val="0"/>
              <w:jc w:val="center"/>
              <w:rPr>
                <w:spacing w:val="-3"/>
                <w:sz w:val="20"/>
                <w:szCs w:val="20"/>
                <w:lang w:val="uk-UA"/>
              </w:rPr>
            </w:pPr>
            <w:r w:rsidRPr="00AC1830">
              <w:rPr>
                <w:spacing w:val="-3"/>
                <w:sz w:val="20"/>
                <w:szCs w:val="20"/>
                <w:lang w:val="uk-UA"/>
              </w:rPr>
              <w:t>7,75 %</w:t>
            </w:r>
          </w:p>
        </w:tc>
        <w:tc>
          <w:tcPr>
            <w:tcW w:w="1533" w:type="dxa"/>
          </w:tcPr>
          <w:p w14:paraId="6393780E" w14:textId="5B4A178F" w:rsidR="00B47157" w:rsidRPr="00AC1830" w:rsidRDefault="003D4FF6" w:rsidP="001E7395">
            <w:pPr>
              <w:autoSpaceDE w:val="0"/>
              <w:autoSpaceDN w:val="0"/>
              <w:adjustRightInd w:val="0"/>
              <w:jc w:val="center"/>
              <w:rPr>
                <w:spacing w:val="-3"/>
                <w:sz w:val="20"/>
                <w:szCs w:val="20"/>
                <w:lang w:val="uk-UA"/>
              </w:rPr>
            </w:pPr>
            <w:r w:rsidRPr="00AC1830">
              <w:rPr>
                <w:spacing w:val="-3"/>
                <w:sz w:val="20"/>
                <w:szCs w:val="20"/>
                <w:lang w:val="uk-UA"/>
              </w:rPr>
              <w:t>2</w:t>
            </w:r>
          </w:p>
        </w:tc>
      </w:tr>
    </w:tbl>
    <w:p w14:paraId="293B0D6D" w14:textId="571C55BF" w:rsidR="00832A6E" w:rsidRPr="000E05A8" w:rsidRDefault="00294A21" w:rsidP="00367DE2">
      <w:pPr>
        <w:shd w:val="clear" w:color="auto" w:fill="FFFFFF"/>
        <w:autoSpaceDE w:val="0"/>
        <w:autoSpaceDN w:val="0"/>
        <w:adjustRightInd w:val="0"/>
        <w:ind w:firstLine="709"/>
        <w:jc w:val="both"/>
        <w:rPr>
          <w:b/>
          <w:sz w:val="22"/>
          <w:szCs w:val="22"/>
          <w:lang w:val="uk-UA"/>
        </w:rPr>
      </w:pPr>
      <w:r w:rsidRPr="000E05A8">
        <w:rPr>
          <w:sz w:val="22"/>
          <w:szCs w:val="22"/>
          <w:lang w:val="uk-UA"/>
        </w:rPr>
        <w:t xml:space="preserve">В Товаристві ці облігації обліковуються як короткострокові </w:t>
      </w:r>
      <w:r w:rsidR="009F668F" w:rsidRPr="000E05A8">
        <w:rPr>
          <w:sz w:val="22"/>
          <w:szCs w:val="22"/>
          <w:lang w:val="uk-UA"/>
        </w:rPr>
        <w:t xml:space="preserve">фінансові інвестиції та </w:t>
      </w:r>
      <w:r w:rsidR="001C2510" w:rsidRPr="000E05A8">
        <w:rPr>
          <w:sz w:val="22"/>
          <w:szCs w:val="22"/>
          <w:lang w:val="uk-UA"/>
        </w:rPr>
        <w:t xml:space="preserve">плануються </w:t>
      </w:r>
      <w:r w:rsidR="009F668F" w:rsidRPr="000E05A8">
        <w:rPr>
          <w:sz w:val="22"/>
          <w:szCs w:val="22"/>
          <w:lang w:val="uk-UA"/>
        </w:rPr>
        <w:t xml:space="preserve">утримуватися </w:t>
      </w:r>
      <w:r w:rsidR="00CF79FA" w:rsidRPr="000E05A8">
        <w:rPr>
          <w:sz w:val="22"/>
          <w:szCs w:val="22"/>
          <w:lang w:val="uk-UA"/>
        </w:rPr>
        <w:t xml:space="preserve">з метою подальшого продажу </w:t>
      </w:r>
      <w:r w:rsidR="000E7124" w:rsidRPr="000E05A8">
        <w:rPr>
          <w:sz w:val="22"/>
          <w:szCs w:val="22"/>
          <w:lang w:val="uk-UA"/>
        </w:rPr>
        <w:t xml:space="preserve">на строк </w:t>
      </w:r>
      <w:r w:rsidR="009F668F" w:rsidRPr="000E05A8">
        <w:rPr>
          <w:sz w:val="22"/>
          <w:szCs w:val="22"/>
          <w:lang w:val="uk-UA"/>
        </w:rPr>
        <w:t xml:space="preserve">до </w:t>
      </w:r>
      <w:r w:rsidR="00E261FF" w:rsidRPr="000E05A8">
        <w:rPr>
          <w:sz w:val="22"/>
          <w:szCs w:val="22"/>
        </w:rPr>
        <w:t>9</w:t>
      </w:r>
      <w:r w:rsidR="009F668F" w:rsidRPr="000E05A8">
        <w:rPr>
          <w:sz w:val="22"/>
          <w:szCs w:val="22"/>
          <w:lang w:val="uk-UA"/>
        </w:rPr>
        <w:t xml:space="preserve"> місяців. </w:t>
      </w:r>
      <w:r w:rsidR="00A82610" w:rsidRPr="000E05A8">
        <w:rPr>
          <w:sz w:val="22"/>
          <w:szCs w:val="22"/>
          <w:lang w:val="uk-UA"/>
        </w:rPr>
        <w:t xml:space="preserve">Облігації були придбані </w:t>
      </w:r>
      <w:r w:rsidR="002D43E2" w:rsidRPr="000E05A8">
        <w:rPr>
          <w:sz w:val="22"/>
          <w:szCs w:val="22"/>
          <w:lang w:val="uk-UA"/>
        </w:rPr>
        <w:t xml:space="preserve">у </w:t>
      </w:r>
      <w:r w:rsidR="00A25650" w:rsidRPr="000E05A8">
        <w:rPr>
          <w:sz w:val="22"/>
          <w:szCs w:val="22"/>
          <w:lang w:val="uk-UA"/>
        </w:rPr>
        <w:t xml:space="preserve">ТОВ </w:t>
      </w:r>
      <w:r w:rsidR="002D43E2" w:rsidRPr="000E05A8">
        <w:rPr>
          <w:sz w:val="22"/>
          <w:szCs w:val="22"/>
          <w:lang w:val="uk-UA"/>
        </w:rPr>
        <w:t>«ФРІДОМ ФІНАНС УКРАЇНА»</w:t>
      </w:r>
      <w:r w:rsidR="00A25650" w:rsidRPr="000E05A8">
        <w:rPr>
          <w:sz w:val="22"/>
          <w:szCs w:val="22"/>
          <w:lang w:val="uk-UA"/>
        </w:rPr>
        <w:t xml:space="preserve"> (код </w:t>
      </w:r>
      <w:r w:rsidR="00A73774" w:rsidRPr="000E05A8">
        <w:rPr>
          <w:rFonts w:eastAsiaTheme="minorEastAsia"/>
          <w:sz w:val="22"/>
          <w:szCs w:val="22"/>
          <w:lang w:val="uk-UA"/>
        </w:rPr>
        <w:t>21654295)</w:t>
      </w:r>
      <w:r w:rsidR="002D2C66" w:rsidRPr="000E05A8">
        <w:rPr>
          <w:rFonts w:eastAsiaTheme="minorEastAsia"/>
          <w:sz w:val="22"/>
          <w:szCs w:val="22"/>
          <w:lang w:val="uk-UA"/>
        </w:rPr>
        <w:t>.</w:t>
      </w:r>
    </w:p>
    <w:p w14:paraId="1D0BC584" w14:textId="7485A772" w:rsidR="00A26558" w:rsidRPr="000E05A8" w:rsidRDefault="001863DE" w:rsidP="0039093B">
      <w:pPr>
        <w:pStyle w:val="af7"/>
        <w:jc w:val="both"/>
        <w:rPr>
          <w:rFonts w:ascii="Times New Roman" w:hAnsi="Times New Roman"/>
          <w:lang w:val="uk-UA"/>
        </w:rPr>
      </w:pPr>
      <w:r w:rsidRPr="000E05A8">
        <w:rPr>
          <w:rFonts w:ascii="Times New Roman" w:hAnsi="Times New Roman"/>
          <w:lang w:val="uk-UA"/>
        </w:rPr>
        <w:t xml:space="preserve">    </w:t>
      </w:r>
      <w:r w:rsidR="00CA3609" w:rsidRPr="000E05A8">
        <w:rPr>
          <w:rFonts w:ascii="Times New Roman" w:hAnsi="Times New Roman"/>
          <w:lang w:val="uk-UA"/>
        </w:rPr>
        <w:tab/>
      </w:r>
      <w:r w:rsidR="00887BF5" w:rsidRPr="000E05A8">
        <w:rPr>
          <w:rFonts w:ascii="Times New Roman" w:hAnsi="Times New Roman"/>
          <w:lang w:val="uk-UA"/>
        </w:rPr>
        <w:t xml:space="preserve">Цінні папери були придбані </w:t>
      </w:r>
      <w:r w:rsidR="00041A0D" w:rsidRPr="000E05A8">
        <w:rPr>
          <w:rFonts w:ascii="Times New Roman" w:hAnsi="Times New Roman"/>
          <w:lang w:val="uk-UA"/>
        </w:rPr>
        <w:t xml:space="preserve">29.09.2020 року </w:t>
      </w:r>
      <w:r w:rsidR="00BD4A0F" w:rsidRPr="000E05A8">
        <w:rPr>
          <w:rFonts w:ascii="Times New Roman" w:hAnsi="Times New Roman"/>
          <w:lang w:val="uk-UA"/>
        </w:rPr>
        <w:t>у кількості 215 штук</w:t>
      </w:r>
      <w:r w:rsidR="00DE0843" w:rsidRPr="000E05A8">
        <w:rPr>
          <w:rFonts w:ascii="Times New Roman" w:hAnsi="Times New Roman"/>
          <w:lang w:val="uk-UA"/>
        </w:rPr>
        <w:t xml:space="preserve"> </w:t>
      </w:r>
      <w:r w:rsidR="00893423" w:rsidRPr="000E05A8">
        <w:rPr>
          <w:rFonts w:ascii="Times New Roman" w:hAnsi="Times New Roman"/>
          <w:lang w:val="uk-UA"/>
        </w:rPr>
        <w:t xml:space="preserve">на загальну суму </w:t>
      </w:r>
      <w:r w:rsidR="002646BD" w:rsidRPr="000E05A8">
        <w:rPr>
          <w:rFonts w:ascii="Times New Roman" w:hAnsi="Times New Roman"/>
          <w:lang w:val="uk-UA"/>
        </w:rPr>
        <w:t xml:space="preserve">247 250 </w:t>
      </w:r>
      <w:r w:rsidR="002D1C2D" w:rsidRPr="000E05A8">
        <w:rPr>
          <w:rFonts w:ascii="Times New Roman" w:hAnsi="Times New Roman"/>
          <w:lang w:val="uk-UA"/>
        </w:rPr>
        <w:t xml:space="preserve">дол. США. </w:t>
      </w:r>
      <w:r w:rsidR="00216B5D" w:rsidRPr="000E05A8">
        <w:rPr>
          <w:rFonts w:ascii="Times New Roman" w:hAnsi="Times New Roman"/>
          <w:lang w:val="uk-UA"/>
        </w:rPr>
        <w:t xml:space="preserve">Тому </w:t>
      </w:r>
      <w:r w:rsidR="00752554" w:rsidRPr="000E05A8">
        <w:rPr>
          <w:rFonts w:ascii="Times New Roman" w:hAnsi="Times New Roman"/>
          <w:lang w:val="uk-UA"/>
        </w:rPr>
        <w:t xml:space="preserve">Керівництво Товариства вважає, що </w:t>
      </w:r>
      <w:r w:rsidR="00D46602" w:rsidRPr="000E05A8">
        <w:rPr>
          <w:rFonts w:ascii="Times New Roman" w:hAnsi="Times New Roman"/>
          <w:lang w:val="uk-UA"/>
        </w:rPr>
        <w:t xml:space="preserve">адекватною </w:t>
      </w:r>
      <w:r w:rsidR="006658D3" w:rsidRPr="000E05A8">
        <w:rPr>
          <w:rFonts w:ascii="Times New Roman" w:hAnsi="Times New Roman"/>
          <w:lang w:val="uk-UA"/>
        </w:rPr>
        <w:t xml:space="preserve">та справедливою вартістю ОЗДП на </w:t>
      </w:r>
      <w:r w:rsidR="00980979" w:rsidRPr="000E05A8">
        <w:rPr>
          <w:rFonts w:ascii="Times New Roman" w:hAnsi="Times New Roman"/>
          <w:lang w:val="uk-UA"/>
        </w:rPr>
        <w:t>31.03.2021</w:t>
      </w:r>
      <w:r w:rsidR="001B43E3" w:rsidRPr="000E05A8">
        <w:rPr>
          <w:rFonts w:ascii="Times New Roman" w:hAnsi="Times New Roman"/>
          <w:lang w:val="uk-UA"/>
        </w:rPr>
        <w:t xml:space="preserve"> року  є </w:t>
      </w:r>
      <w:r w:rsidR="00BD4A0F" w:rsidRPr="000E05A8">
        <w:rPr>
          <w:rFonts w:ascii="Times New Roman" w:hAnsi="Times New Roman"/>
          <w:lang w:val="uk-UA"/>
        </w:rPr>
        <w:t xml:space="preserve"> </w:t>
      </w:r>
      <w:r w:rsidR="001B43E3" w:rsidRPr="000E05A8">
        <w:rPr>
          <w:rFonts w:ascii="Times New Roman" w:hAnsi="Times New Roman"/>
          <w:lang w:val="uk-UA"/>
        </w:rPr>
        <w:t>1</w:t>
      </w:r>
      <w:r w:rsidR="00D35D21" w:rsidRPr="000E05A8">
        <w:rPr>
          <w:rFonts w:ascii="Times New Roman" w:hAnsi="Times New Roman"/>
          <w:lang w:val="uk-UA"/>
        </w:rPr>
        <w:t xml:space="preserve"> </w:t>
      </w:r>
      <w:r w:rsidR="001B43E3" w:rsidRPr="000E05A8">
        <w:rPr>
          <w:rFonts w:ascii="Times New Roman" w:hAnsi="Times New Roman"/>
          <w:lang w:val="uk-UA"/>
        </w:rPr>
        <w:t>150</w:t>
      </w:r>
      <w:r w:rsidR="00F45D56" w:rsidRPr="000E05A8">
        <w:rPr>
          <w:rFonts w:ascii="Times New Roman" w:hAnsi="Times New Roman"/>
          <w:lang w:val="uk-UA"/>
        </w:rPr>
        <w:t xml:space="preserve">,00 дол. США </w:t>
      </w:r>
      <w:r w:rsidR="00883F7F" w:rsidRPr="000E05A8">
        <w:rPr>
          <w:rFonts w:ascii="Times New Roman" w:hAnsi="Times New Roman"/>
          <w:lang w:val="uk-UA"/>
        </w:rPr>
        <w:t xml:space="preserve">за 1 ЦП </w:t>
      </w:r>
      <w:r w:rsidR="00F45D56" w:rsidRPr="000E05A8">
        <w:rPr>
          <w:rFonts w:ascii="Times New Roman" w:hAnsi="Times New Roman"/>
          <w:lang w:val="uk-UA"/>
        </w:rPr>
        <w:t>в гривневому еквіваленті на дату звітност</w:t>
      </w:r>
      <w:r w:rsidR="00E17458" w:rsidRPr="000E05A8">
        <w:rPr>
          <w:rFonts w:ascii="Times New Roman" w:hAnsi="Times New Roman"/>
          <w:lang w:val="uk-UA"/>
        </w:rPr>
        <w:t xml:space="preserve">і та </w:t>
      </w:r>
      <w:r w:rsidR="00752554" w:rsidRPr="000E05A8">
        <w:rPr>
          <w:rFonts w:ascii="Times New Roman" w:hAnsi="Times New Roman"/>
          <w:lang w:val="uk-UA"/>
        </w:rPr>
        <w:t xml:space="preserve">наведені розкриття щодо застосування справедливої вартості є достатніми, і не вважає, що за межами фінансової </w:t>
      </w:r>
      <w:r w:rsidR="00752554" w:rsidRPr="000E05A8">
        <w:rPr>
          <w:rFonts w:ascii="Times New Roman" w:hAnsi="Times New Roman"/>
          <w:lang w:val="uk-UA"/>
        </w:rPr>
        <w:lastRenderedPageBreak/>
        <w:t xml:space="preserve">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 </w:t>
      </w:r>
    </w:p>
    <w:p w14:paraId="5AD1923F" w14:textId="7AAB2C02" w:rsidR="00A46121" w:rsidRPr="000E05A8" w:rsidRDefault="00A46121" w:rsidP="00A46121">
      <w:pPr>
        <w:numPr>
          <w:ilvl w:val="0"/>
          <w:numId w:val="22"/>
        </w:numPr>
        <w:shd w:val="clear" w:color="auto" w:fill="FFFFFF"/>
        <w:spacing w:before="240" w:line="300" w:lineRule="exact"/>
        <w:ind w:left="426" w:hanging="77"/>
        <w:rPr>
          <w:b/>
          <w:sz w:val="22"/>
          <w:szCs w:val="22"/>
          <w:lang w:val="uk-UA" w:eastAsia="uk-UA"/>
        </w:rPr>
      </w:pPr>
      <w:r w:rsidRPr="000E05A8">
        <w:rPr>
          <w:b/>
          <w:sz w:val="22"/>
          <w:szCs w:val="22"/>
          <w:lang w:val="uk-UA" w:eastAsia="uk-UA"/>
        </w:rPr>
        <w:t>Фінансова звітність Товариства та розшифровка показників.</w:t>
      </w:r>
    </w:p>
    <w:p w14:paraId="387C2BD5" w14:textId="530EB218" w:rsidR="00A46121" w:rsidRPr="000E05A8" w:rsidRDefault="00A46121" w:rsidP="00A46121">
      <w:pPr>
        <w:rPr>
          <w:b/>
          <w:sz w:val="22"/>
          <w:szCs w:val="22"/>
          <w:lang w:val="uk-UA"/>
        </w:rPr>
      </w:pPr>
      <w:r w:rsidRPr="000E05A8">
        <w:rPr>
          <w:b/>
          <w:sz w:val="22"/>
          <w:szCs w:val="22"/>
          <w:lang w:val="uk-UA"/>
        </w:rPr>
        <w:t xml:space="preserve">Звіт про сукупний дохід </w:t>
      </w:r>
      <w:r w:rsidR="006E40A2" w:rsidRPr="000E05A8">
        <w:rPr>
          <w:b/>
          <w:sz w:val="22"/>
          <w:szCs w:val="22"/>
          <w:lang w:val="uk-UA"/>
        </w:rPr>
        <w:t>за період</w:t>
      </w:r>
      <w:r w:rsidR="001B2B91" w:rsidRPr="000E05A8">
        <w:rPr>
          <w:b/>
          <w:color w:val="FF0000"/>
          <w:sz w:val="22"/>
          <w:szCs w:val="22"/>
          <w:lang w:val="uk-UA"/>
        </w:rPr>
        <w:t xml:space="preserve"> </w:t>
      </w:r>
      <w:r w:rsidR="00B366C3" w:rsidRPr="000E05A8">
        <w:rPr>
          <w:b/>
          <w:sz w:val="22"/>
          <w:szCs w:val="22"/>
          <w:lang w:val="uk-UA"/>
        </w:rPr>
        <w:t xml:space="preserve">з </w:t>
      </w:r>
      <w:r w:rsidR="002628FB" w:rsidRPr="000E05A8">
        <w:rPr>
          <w:b/>
          <w:sz w:val="22"/>
          <w:szCs w:val="22"/>
          <w:lang w:val="uk-UA"/>
        </w:rPr>
        <w:t>01 січня 2021 року</w:t>
      </w:r>
      <w:r w:rsidR="00980979" w:rsidRPr="000E05A8">
        <w:rPr>
          <w:b/>
          <w:sz w:val="22"/>
          <w:szCs w:val="22"/>
          <w:lang w:val="uk-UA"/>
        </w:rPr>
        <w:t xml:space="preserve"> </w:t>
      </w:r>
      <w:r w:rsidR="00AC37A2" w:rsidRPr="000E05A8">
        <w:rPr>
          <w:b/>
          <w:sz w:val="22"/>
          <w:szCs w:val="22"/>
          <w:lang w:val="uk-UA"/>
        </w:rPr>
        <w:t>по</w:t>
      </w:r>
      <w:r w:rsidR="006E40A2" w:rsidRPr="000E05A8">
        <w:rPr>
          <w:b/>
          <w:sz w:val="22"/>
          <w:szCs w:val="22"/>
          <w:lang w:val="uk-UA"/>
        </w:rPr>
        <w:t xml:space="preserve"> </w:t>
      </w:r>
      <w:r w:rsidR="00980979" w:rsidRPr="000E05A8">
        <w:rPr>
          <w:b/>
          <w:sz w:val="22"/>
          <w:szCs w:val="22"/>
          <w:lang w:val="uk-UA"/>
        </w:rPr>
        <w:t>31 березня 2021</w:t>
      </w:r>
      <w:r w:rsidR="00FA7519" w:rsidRPr="000E05A8">
        <w:rPr>
          <w:b/>
          <w:sz w:val="22"/>
          <w:szCs w:val="22"/>
          <w:lang w:val="uk-UA"/>
        </w:rPr>
        <w:t xml:space="preserve"> року</w:t>
      </w:r>
    </w:p>
    <w:p w14:paraId="3ADBFE1E" w14:textId="2682B5AB" w:rsidR="00A46121" w:rsidRPr="000E05A8" w:rsidRDefault="00A46121" w:rsidP="00377271">
      <w:pPr>
        <w:jc w:val="right"/>
        <w:rPr>
          <w:sz w:val="22"/>
          <w:szCs w:val="22"/>
          <w:lang w:val="uk-UA"/>
        </w:rPr>
      </w:pPr>
      <w:r w:rsidRPr="000E05A8">
        <w:rPr>
          <w:sz w:val="22"/>
          <w:szCs w:val="22"/>
          <w:lang w:val="uk-UA"/>
        </w:rPr>
        <w:t>(</w:t>
      </w:r>
      <w:r w:rsidR="008E6C8E" w:rsidRPr="000E05A8">
        <w:rPr>
          <w:sz w:val="22"/>
          <w:szCs w:val="22"/>
          <w:lang w:val="uk-UA"/>
        </w:rPr>
        <w:t>тис.грн.</w:t>
      </w:r>
      <w:r w:rsidRPr="000E05A8">
        <w:rPr>
          <w:sz w:val="22"/>
          <w:szCs w:val="22"/>
          <w:lang w:val="uk-UA"/>
        </w:rPr>
        <w:t>)</w:t>
      </w:r>
    </w:p>
    <w:tbl>
      <w:tblPr>
        <w:tblpPr w:leftFromText="180" w:rightFromText="180"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29"/>
        <w:gridCol w:w="993"/>
        <w:gridCol w:w="2693"/>
      </w:tblGrid>
      <w:tr w:rsidR="004111AF" w:rsidRPr="00AC1830" w14:paraId="78716012" w14:textId="77777777" w:rsidTr="00AC1830">
        <w:trPr>
          <w:trHeight w:hRule="exact" w:val="322"/>
        </w:trPr>
        <w:tc>
          <w:tcPr>
            <w:tcW w:w="6229" w:type="dxa"/>
            <w:shd w:val="clear" w:color="auto" w:fill="FFFFFF"/>
          </w:tcPr>
          <w:p w14:paraId="24B0A2C9" w14:textId="77777777" w:rsidR="004111AF" w:rsidRPr="00AC1830" w:rsidRDefault="004111AF" w:rsidP="00C87439">
            <w:pPr>
              <w:shd w:val="clear" w:color="auto" w:fill="FFFFFF"/>
              <w:rPr>
                <w:sz w:val="20"/>
                <w:szCs w:val="20"/>
                <w:lang w:val="uk-UA"/>
              </w:rPr>
            </w:pPr>
          </w:p>
        </w:tc>
        <w:tc>
          <w:tcPr>
            <w:tcW w:w="993" w:type="dxa"/>
            <w:shd w:val="clear" w:color="auto" w:fill="FFFFFF"/>
          </w:tcPr>
          <w:p w14:paraId="2761C35A" w14:textId="77777777" w:rsidR="004111AF" w:rsidRPr="00AC1830" w:rsidRDefault="004111AF" w:rsidP="00C87439">
            <w:pPr>
              <w:shd w:val="clear" w:color="auto" w:fill="FFFFFF"/>
              <w:jc w:val="center"/>
              <w:rPr>
                <w:sz w:val="20"/>
                <w:szCs w:val="20"/>
                <w:lang w:val="uk-UA"/>
              </w:rPr>
            </w:pPr>
            <w:r w:rsidRPr="00AC1830">
              <w:rPr>
                <w:sz w:val="20"/>
                <w:szCs w:val="20"/>
                <w:lang w:val="uk-UA"/>
              </w:rPr>
              <w:t>Прим.</w:t>
            </w:r>
          </w:p>
        </w:tc>
        <w:tc>
          <w:tcPr>
            <w:tcW w:w="2693" w:type="dxa"/>
            <w:shd w:val="clear" w:color="auto" w:fill="FFFFFF"/>
            <w:hideMark/>
          </w:tcPr>
          <w:p w14:paraId="6C900E5D" w14:textId="2A38CA3F" w:rsidR="004111AF" w:rsidRPr="00AC1830" w:rsidRDefault="00980979" w:rsidP="00C87439">
            <w:pPr>
              <w:shd w:val="clear" w:color="auto" w:fill="FFFFFF"/>
              <w:jc w:val="center"/>
              <w:rPr>
                <w:sz w:val="20"/>
                <w:szCs w:val="20"/>
                <w:lang w:val="uk-UA"/>
              </w:rPr>
            </w:pPr>
            <w:r w:rsidRPr="00AC1830">
              <w:rPr>
                <w:sz w:val="20"/>
                <w:szCs w:val="20"/>
                <w:lang w:val="uk-UA"/>
              </w:rPr>
              <w:t>31.03.2021</w:t>
            </w:r>
            <w:r w:rsidR="004111AF" w:rsidRPr="00AC1830">
              <w:rPr>
                <w:sz w:val="20"/>
                <w:szCs w:val="20"/>
                <w:lang w:val="uk-UA"/>
              </w:rPr>
              <w:t xml:space="preserve"> рік</w:t>
            </w:r>
          </w:p>
        </w:tc>
      </w:tr>
      <w:tr w:rsidR="00AF1F82" w:rsidRPr="00AC1830" w14:paraId="1F74D4CD" w14:textId="77777777" w:rsidTr="00AC1830">
        <w:trPr>
          <w:trHeight w:hRule="exact" w:val="312"/>
        </w:trPr>
        <w:tc>
          <w:tcPr>
            <w:tcW w:w="6229" w:type="dxa"/>
            <w:shd w:val="clear" w:color="auto" w:fill="FFFFFF"/>
          </w:tcPr>
          <w:p w14:paraId="1F5377AD" w14:textId="62B439F5" w:rsidR="00AF1F82" w:rsidRPr="00AC1830" w:rsidRDefault="00AF1F82" w:rsidP="00C87439">
            <w:pPr>
              <w:shd w:val="clear" w:color="auto" w:fill="FFFFFF"/>
              <w:rPr>
                <w:sz w:val="20"/>
                <w:szCs w:val="20"/>
                <w:lang w:val="uk-UA"/>
              </w:rPr>
            </w:pPr>
            <w:r w:rsidRPr="00AC1830">
              <w:rPr>
                <w:sz w:val="20"/>
                <w:szCs w:val="20"/>
                <w:lang w:val="uk-UA"/>
              </w:rPr>
              <w:t>Чистий дохід від реалізації продукцiї (товарiв, робiт, послуг)</w:t>
            </w:r>
          </w:p>
        </w:tc>
        <w:tc>
          <w:tcPr>
            <w:tcW w:w="993" w:type="dxa"/>
            <w:shd w:val="clear" w:color="auto" w:fill="FFFFFF"/>
          </w:tcPr>
          <w:p w14:paraId="6022E882" w14:textId="61158645" w:rsidR="00AF1F82" w:rsidRPr="00AC1830" w:rsidRDefault="00AF1F82" w:rsidP="00AC1830">
            <w:pPr>
              <w:shd w:val="clear" w:color="auto" w:fill="FFFFFF"/>
              <w:jc w:val="center"/>
              <w:rPr>
                <w:sz w:val="20"/>
                <w:szCs w:val="20"/>
                <w:lang w:val="en-US"/>
              </w:rPr>
            </w:pPr>
            <w:r w:rsidRPr="00AC1830">
              <w:rPr>
                <w:sz w:val="20"/>
                <w:szCs w:val="20"/>
                <w:lang w:val="en-US"/>
              </w:rPr>
              <w:t>6.1</w:t>
            </w:r>
          </w:p>
        </w:tc>
        <w:tc>
          <w:tcPr>
            <w:tcW w:w="2693" w:type="dxa"/>
            <w:shd w:val="clear" w:color="auto" w:fill="FFFFFF"/>
          </w:tcPr>
          <w:p w14:paraId="363EBA10" w14:textId="71236797" w:rsidR="00AF1F82" w:rsidRPr="00AC1830" w:rsidRDefault="00AF1F82" w:rsidP="00C87439">
            <w:pPr>
              <w:shd w:val="clear" w:color="auto" w:fill="FFFFFF"/>
              <w:jc w:val="center"/>
              <w:rPr>
                <w:sz w:val="20"/>
                <w:szCs w:val="20"/>
                <w:lang w:val="en-US"/>
              </w:rPr>
            </w:pPr>
            <w:r w:rsidRPr="00AC1830">
              <w:rPr>
                <w:sz w:val="20"/>
                <w:szCs w:val="20"/>
                <w:lang w:val="en-US"/>
              </w:rPr>
              <w:t>58</w:t>
            </w:r>
          </w:p>
        </w:tc>
      </w:tr>
      <w:tr w:rsidR="00665F88" w:rsidRPr="00AC1830" w14:paraId="36B6DAE6" w14:textId="77777777" w:rsidTr="00AC1830">
        <w:trPr>
          <w:trHeight w:hRule="exact" w:val="312"/>
        </w:trPr>
        <w:tc>
          <w:tcPr>
            <w:tcW w:w="6229" w:type="dxa"/>
            <w:shd w:val="clear" w:color="auto" w:fill="FFFFFF"/>
          </w:tcPr>
          <w:p w14:paraId="4D04C4D7" w14:textId="29768D26" w:rsidR="00665F88" w:rsidRPr="00AC1830" w:rsidRDefault="00665F88" w:rsidP="00C87439">
            <w:pPr>
              <w:shd w:val="clear" w:color="auto" w:fill="FFFFFF"/>
              <w:rPr>
                <w:sz w:val="20"/>
                <w:szCs w:val="20"/>
                <w:lang w:val="uk-UA"/>
              </w:rPr>
            </w:pPr>
            <w:r w:rsidRPr="00AC1830">
              <w:rPr>
                <w:sz w:val="20"/>
                <w:szCs w:val="20"/>
                <w:lang w:val="uk-UA"/>
              </w:rPr>
              <w:t>Інші фінансові доходи</w:t>
            </w:r>
          </w:p>
        </w:tc>
        <w:tc>
          <w:tcPr>
            <w:tcW w:w="993" w:type="dxa"/>
            <w:shd w:val="clear" w:color="auto" w:fill="FFFFFF"/>
          </w:tcPr>
          <w:p w14:paraId="4B00469E" w14:textId="210F5B8A" w:rsidR="00665F88" w:rsidRPr="00AC1830" w:rsidRDefault="002B4CCB" w:rsidP="00AC1830">
            <w:pPr>
              <w:shd w:val="clear" w:color="auto" w:fill="FFFFFF"/>
              <w:jc w:val="center"/>
              <w:rPr>
                <w:sz w:val="20"/>
                <w:szCs w:val="20"/>
                <w:lang w:val="uk-UA"/>
              </w:rPr>
            </w:pPr>
            <w:r w:rsidRPr="00AC1830">
              <w:rPr>
                <w:sz w:val="20"/>
                <w:szCs w:val="20"/>
                <w:lang w:val="uk-UA"/>
              </w:rPr>
              <w:t>6.1</w:t>
            </w:r>
          </w:p>
        </w:tc>
        <w:tc>
          <w:tcPr>
            <w:tcW w:w="2693" w:type="dxa"/>
            <w:shd w:val="clear" w:color="auto" w:fill="FFFFFF"/>
          </w:tcPr>
          <w:p w14:paraId="64A2056C" w14:textId="73F7960E" w:rsidR="00665F88" w:rsidRPr="00AC1830" w:rsidRDefault="00665F88" w:rsidP="00C87439">
            <w:pPr>
              <w:shd w:val="clear" w:color="auto" w:fill="FFFFFF"/>
              <w:jc w:val="center"/>
              <w:rPr>
                <w:sz w:val="20"/>
                <w:szCs w:val="20"/>
                <w:lang w:val="en-US"/>
              </w:rPr>
            </w:pPr>
            <w:r w:rsidRPr="00AC1830">
              <w:rPr>
                <w:sz w:val="20"/>
                <w:szCs w:val="20"/>
                <w:lang w:val="en-US"/>
              </w:rPr>
              <w:t>69</w:t>
            </w:r>
          </w:p>
        </w:tc>
      </w:tr>
      <w:tr w:rsidR="004111AF" w:rsidRPr="00AC1830" w14:paraId="3945B1E0" w14:textId="77777777" w:rsidTr="00AC1830">
        <w:trPr>
          <w:trHeight w:hRule="exact" w:val="312"/>
        </w:trPr>
        <w:tc>
          <w:tcPr>
            <w:tcW w:w="6229" w:type="dxa"/>
            <w:shd w:val="clear" w:color="auto" w:fill="FFFFFF"/>
          </w:tcPr>
          <w:p w14:paraId="08D470B8" w14:textId="1F2CB8D7" w:rsidR="004111AF" w:rsidRPr="008D1B3A" w:rsidRDefault="004111AF" w:rsidP="00C87439">
            <w:pPr>
              <w:shd w:val="clear" w:color="auto" w:fill="FFFFFF"/>
              <w:rPr>
                <w:b/>
                <w:bCs/>
                <w:i/>
                <w:iCs/>
                <w:sz w:val="20"/>
                <w:szCs w:val="20"/>
                <w:u w:val="single"/>
                <w:lang w:val="uk-UA"/>
              </w:rPr>
            </w:pPr>
            <w:r w:rsidRPr="008D1B3A">
              <w:rPr>
                <w:b/>
                <w:bCs/>
                <w:i/>
                <w:iCs/>
                <w:sz w:val="20"/>
                <w:szCs w:val="20"/>
                <w:u w:val="single"/>
                <w:lang w:val="uk-UA"/>
              </w:rPr>
              <w:t>Всього доходи</w:t>
            </w:r>
          </w:p>
        </w:tc>
        <w:tc>
          <w:tcPr>
            <w:tcW w:w="993" w:type="dxa"/>
            <w:shd w:val="clear" w:color="auto" w:fill="FFFFFF"/>
          </w:tcPr>
          <w:p w14:paraId="58F4F2DF" w14:textId="5055D9F3" w:rsidR="004111AF" w:rsidRPr="008D1B3A" w:rsidRDefault="004111AF" w:rsidP="00AC1830">
            <w:pPr>
              <w:shd w:val="clear" w:color="auto" w:fill="FFFFFF"/>
              <w:jc w:val="center"/>
              <w:rPr>
                <w:b/>
                <w:bCs/>
                <w:i/>
                <w:iCs/>
                <w:sz w:val="20"/>
                <w:szCs w:val="20"/>
                <w:lang w:val="uk-UA"/>
              </w:rPr>
            </w:pPr>
            <w:r w:rsidRPr="008D1B3A">
              <w:rPr>
                <w:b/>
                <w:bCs/>
                <w:i/>
                <w:iCs/>
                <w:sz w:val="20"/>
                <w:szCs w:val="20"/>
                <w:lang w:val="uk-UA"/>
              </w:rPr>
              <w:t>6.1</w:t>
            </w:r>
          </w:p>
        </w:tc>
        <w:tc>
          <w:tcPr>
            <w:tcW w:w="2693" w:type="dxa"/>
            <w:shd w:val="clear" w:color="auto" w:fill="FFFFFF"/>
          </w:tcPr>
          <w:p w14:paraId="48163F69" w14:textId="6B350617" w:rsidR="004111AF" w:rsidRPr="008D1B3A" w:rsidRDefault="00665F88" w:rsidP="00C87439">
            <w:pPr>
              <w:shd w:val="clear" w:color="auto" w:fill="FFFFFF"/>
              <w:jc w:val="center"/>
              <w:rPr>
                <w:b/>
                <w:bCs/>
                <w:i/>
                <w:iCs/>
                <w:sz w:val="20"/>
                <w:szCs w:val="20"/>
                <w:u w:val="single"/>
                <w:lang w:val="en-US"/>
              </w:rPr>
            </w:pPr>
            <w:r w:rsidRPr="008D1B3A">
              <w:rPr>
                <w:b/>
                <w:bCs/>
                <w:i/>
                <w:iCs/>
                <w:sz w:val="20"/>
                <w:szCs w:val="20"/>
                <w:u w:val="single"/>
                <w:lang w:val="en-US"/>
              </w:rPr>
              <w:t>127</w:t>
            </w:r>
          </w:p>
        </w:tc>
      </w:tr>
      <w:tr w:rsidR="00665F88" w:rsidRPr="00AC1830" w14:paraId="250821C5" w14:textId="77777777" w:rsidTr="00AC1830">
        <w:trPr>
          <w:trHeight w:hRule="exact" w:val="312"/>
        </w:trPr>
        <w:tc>
          <w:tcPr>
            <w:tcW w:w="6229" w:type="dxa"/>
            <w:shd w:val="clear" w:color="auto" w:fill="FFFFFF"/>
          </w:tcPr>
          <w:p w14:paraId="4AEA4EA5" w14:textId="0D2B0F2C" w:rsidR="00665F88" w:rsidRPr="00AC1830" w:rsidRDefault="00665F88" w:rsidP="00C87439">
            <w:pPr>
              <w:shd w:val="clear" w:color="auto" w:fill="FFFFFF"/>
              <w:rPr>
                <w:sz w:val="20"/>
                <w:szCs w:val="20"/>
                <w:lang w:val="uk-UA"/>
              </w:rPr>
            </w:pPr>
            <w:r w:rsidRPr="00AC1830">
              <w:rPr>
                <w:sz w:val="20"/>
                <w:szCs w:val="20"/>
                <w:lang w:val="uk-UA"/>
              </w:rPr>
              <w:t>Адміністративні витрати</w:t>
            </w:r>
          </w:p>
        </w:tc>
        <w:tc>
          <w:tcPr>
            <w:tcW w:w="993" w:type="dxa"/>
            <w:shd w:val="clear" w:color="auto" w:fill="FFFFFF"/>
          </w:tcPr>
          <w:p w14:paraId="19D7DFBE" w14:textId="1318EB0E" w:rsidR="00665F88" w:rsidRPr="00AC1830" w:rsidRDefault="002B4CCB" w:rsidP="00AC1830">
            <w:pPr>
              <w:shd w:val="clear" w:color="auto" w:fill="FFFFFF"/>
              <w:jc w:val="center"/>
              <w:rPr>
                <w:sz w:val="20"/>
                <w:szCs w:val="20"/>
                <w:lang w:val="uk-UA"/>
              </w:rPr>
            </w:pPr>
            <w:r w:rsidRPr="00AC1830">
              <w:rPr>
                <w:sz w:val="20"/>
                <w:szCs w:val="20"/>
                <w:lang w:val="uk-UA"/>
              </w:rPr>
              <w:t>6.2.</w:t>
            </w:r>
          </w:p>
        </w:tc>
        <w:tc>
          <w:tcPr>
            <w:tcW w:w="2693" w:type="dxa"/>
            <w:shd w:val="clear" w:color="auto" w:fill="FFFFFF"/>
          </w:tcPr>
          <w:p w14:paraId="09AF4C20" w14:textId="3817FDA7" w:rsidR="00665F88" w:rsidRPr="00AC1830" w:rsidRDefault="00665F88" w:rsidP="00C87439">
            <w:pPr>
              <w:shd w:val="clear" w:color="auto" w:fill="FFFFFF"/>
              <w:jc w:val="center"/>
              <w:rPr>
                <w:sz w:val="20"/>
                <w:szCs w:val="20"/>
                <w:lang w:val="en-US"/>
              </w:rPr>
            </w:pPr>
            <w:r w:rsidRPr="00AC1830">
              <w:rPr>
                <w:sz w:val="20"/>
                <w:szCs w:val="20"/>
                <w:lang w:val="en-US"/>
              </w:rPr>
              <w:t>213</w:t>
            </w:r>
          </w:p>
        </w:tc>
      </w:tr>
      <w:tr w:rsidR="004111AF" w:rsidRPr="00AC1830" w14:paraId="0A76929D" w14:textId="77777777" w:rsidTr="00AC1830">
        <w:trPr>
          <w:trHeight w:hRule="exact" w:val="372"/>
        </w:trPr>
        <w:tc>
          <w:tcPr>
            <w:tcW w:w="6229" w:type="dxa"/>
            <w:shd w:val="clear" w:color="auto" w:fill="FFFFFF"/>
          </w:tcPr>
          <w:p w14:paraId="48360C10" w14:textId="46FEC183" w:rsidR="004111AF" w:rsidRPr="00AC1830" w:rsidRDefault="00665F88" w:rsidP="001B2B91">
            <w:pPr>
              <w:shd w:val="clear" w:color="auto" w:fill="FFFFFF"/>
              <w:rPr>
                <w:color w:val="FF0000"/>
                <w:sz w:val="20"/>
                <w:szCs w:val="20"/>
                <w:lang w:val="uk-UA"/>
              </w:rPr>
            </w:pPr>
            <w:r w:rsidRPr="00AC1830">
              <w:rPr>
                <w:sz w:val="20"/>
                <w:szCs w:val="20"/>
                <w:lang w:val="uk-UA"/>
              </w:rPr>
              <w:t>Інші операційні витрати</w:t>
            </w:r>
          </w:p>
        </w:tc>
        <w:tc>
          <w:tcPr>
            <w:tcW w:w="993" w:type="dxa"/>
            <w:shd w:val="clear" w:color="auto" w:fill="FFFFFF"/>
          </w:tcPr>
          <w:p w14:paraId="5C799EB9" w14:textId="639C177B" w:rsidR="004111AF" w:rsidRPr="00AC1830" w:rsidRDefault="00E41614" w:rsidP="00AC1830">
            <w:pPr>
              <w:shd w:val="clear" w:color="auto" w:fill="FFFFFF"/>
              <w:ind w:right="91"/>
              <w:jc w:val="center"/>
              <w:rPr>
                <w:sz w:val="20"/>
                <w:szCs w:val="20"/>
                <w:lang w:val="uk-UA"/>
              </w:rPr>
            </w:pPr>
            <w:r w:rsidRPr="00AC1830">
              <w:rPr>
                <w:sz w:val="20"/>
                <w:szCs w:val="20"/>
                <w:lang w:val="uk-UA"/>
              </w:rPr>
              <w:t>6.2.</w:t>
            </w:r>
          </w:p>
        </w:tc>
        <w:tc>
          <w:tcPr>
            <w:tcW w:w="2693" w:type="dxa"/>
            <w:shd w:val="clear" w:color="auto" w:fill="FFFFFF"/>
          </w:tcPr>
          <w:p w14:paraId="40CB190A" w14:textId="17F3D98D" w:rsidR="004111AF" w:rsidRPr="00AC1830" w:rsidRDefault="00665F88" w:rsidP="00C87439">
            <w:pPr>
              <w:shd w:val="clear" w:color="auto" w:fill="FFFFFF"/>
              <w:jc w:val="center"/>
              <w:rPr>
                <w:sz w:val="20"/>
                <w:szCs w:val="20"/>
                <w:lang w:val="en-US"/>
              </w:rPr>
            </w:pPr>
            <w:r w:rsidRPr="00AC1830">
              <w:rPr>
                <w:sz w:val="20"/>
                <w:szCs w:val="20"/>
                <w:lang w:val="en-US"/>
              </w:rPr>
              <w:t>98</w:t>
            </w:r>
          </w:p>
        </w:tc>
      </w:tr>
      <w:tr w:rsidR="004111AF" w:rsidRPr="00AC1830" w14:paraId="0FB70000" w14:textId="77777777" w:rsidTr="00AC1830">
        <w:trPr>
          <w:trHeight w:hRule="exact" w:val="312"/>
        </w:trPr>
        <w:tc>
          <w:tcPr>
            <w:tcW w:w="6229" w:type="dxa"/>
            <w:shd w:val="clear" w:color="auto" w:fill="FFFFFF"/>
            <w:hideMark/>
          </w:tcPr>
          <w:p w14:paraId="3B7CD6C5" w14:textId="77777777" w:rsidR="004111AF" w:rsidRPr="008D1B3A" w:rsidRDefault="004111AF" w:rsidP="00C87439">
            <w:pPr>
              <w:shd w:val="clear" w:color="auto" w:fill="FFFFFF"/>
              <w:ind w:left="53"/>
              <w:rPr>
                <w:b/>
                <w:bCs/>
                <w:i/>
                <w:iCs/>
                <w:sz w:val="20"/>
                <w:szCs w:val="20"/>
                <w:u w:val="single"/>
                <w:lang w:val="uk-UA"/>
              </w:rPr>
            </w:pPr>
            <w:r w:rsidRPr="008D1B3A">
              <w:rPr>
                <w:b/>
                <w:bCs/>
                <w:i/>
                <w:iCs/>
                <w:sz w:val="20"/>
                <w:szCs w:val="20"/>
                <w:u w:val="single"/>
                <w:lang w:val="uk-UA"/>
              </w:rPr>
              <w:t>Всього витрати</w:t>
            </w:r>
          </w:p>
        </w:tc>
        <w:tc>
          <w:tcPr>
            <w:tcW w:w="993" w:type="dxa"/>
            <w:shd w:val="clear" w:color="auto" w:fill="FFFFFF"/>
          </w:tcPr>
          <w:p w14:paraId="3F480C2C" w14:textId="613D25F7" w:rsidR="004111AF" w:rsidRPr="008D1B3A" w:rsidRDefault="00E41614" w:rsidP="00AC1830">
            <w:pPr>
              <w:shd w:val="clear" w:color="auto" w:fill="FFFFFF"/>
              <w:ind w:right="91"/>
              <w:jc w:val="center"/>
              <w:rPr>
                <w:b/>
                <w:bCs/>
                <w:i/>
                <w:iCs/>
                <w:sz w:val="20"/>
                <w:szCs w:val="20"/>
                <w:lang w:val="uk-UA"/>
              </w:rPr>
            </w:pPr>
            <w:r w:rsidRPr="008D1B3A">
              <w:rPr>
                <w:b/>
                <w:bCs/>
                <w:i/>
                <w:iCs/>
                <w:sz w:val="20"/>
                <w:szCs w:val="20"/>
                <w:lang w:val="uk-UA"/>
              </w:rPr>
              <w:t>6.2</w:t>
            </w:r>
            <w:r w:rsidR="00AC1830" w:rsidRPr="008D1B3A">
              <w:rPr>
                <w:b/>
                <w:bCs/>
                <w:i/>
                <w:iCs/>
                <w:sz w:val="20"/>
                <w:szCs w:val="20"/>
                <w:lang w:val="uk-UA"/>
              </w:rPr>
              <w:t>.</w:t>
            </w:r>
          </w:p>
        </w:tc>
        <w:tc>
          <w:tcPr>
            <w:tcW w:w="2693" w:type="dxa"/>
            <w:shd w:val="clear" w:color="auto" w:fill="FFFFFF"/>
            <w:hideMark/>
          </w:tcPr>
          <w:p w14:paraId="4A07CE33" w14:textId="457B6B99" w:rsidR="004111AF" w:rsidRPr="008D1B3A" w:rsidRDefault="004111AF" w:rsidP="00C87439">
            <w:pPr>
              <w:shd w:val="clear" w:color="auto" w:fill="FFFFFF"/>
              <w:jc w:val="center"/>
              <w:rPr>
                <w:b/>
                <w:bCs/>
                <w:i/>
                <w:iCs/>
                <w:sz w:val="20"/>
                <w:szCs w:val="20"/>
                <w:u w:val="single"/>
                <w:lang w:val="uk-UA"/>
              </w:rPr>
            </w:pPr>
            <w:r w:rsidRPr="008D1B3A">
              <w:rPr>
                <w:b/>
                <w:bCs/>
                <w:i/>
                <w:iCs/>
                <w:sz w:val="20"/>
                <w:szCs w:val="20"/>
                <w:u w:val="single"/>
                <w:lang w:val="uk-UA"/>
              </w:rPr>
              <w:t>(</w:t>
            </w:r>
            <w:r w:rsidR="00665F88" w:rsidRPr="008D1B3A">
              <w:rPr>
                <w:b/>
                <w:bCs/>
                <w:i/>
                <w:iCs/>
                <w:sz w:val="20"/>
                <w:szCs w:val="20"/>
                <w:u w:val="single"/>
                <w:lang w:val="en-US"/>
              </w:rPr>
              <w:t>311</w:t>
            </w:r>
            <w:r w:rsidRPr="008D1B3A">
              <w:rPr>
                <w:b/>
                <w:bCs/>
                <w:i/>
                <w:iCs/>
                <w:sz w:val="20"/>
                <w:szCs w:val="20"/>
                <w:u w:val="single"/>
                <w:lang w:val="uk-UA"/>
              </w:rPr>
              <w:t>)</w:t>
            </w:r>
          </w:p>
        </w:tc>
      </w:tr>
      <w:tr w:rsidR="004111AF" w:rsidRPr="00AC1830" w14:paraId="00E68D56" w14:textId="77777777" w:rsidTr="00AC1830">
        <w:trPr>
          <w:trHeight w:hRule="exact" w:val="312"/>
        </w:trPr>
        <w:tc>
          <w:tcPr>
            <w:tcW w:w="6229" w:type="dxa"/>
            <w:shd w:val="clear" w:color="auto" w:fill="FFFFFF"/>
            <w:hideMark/>
          </w:tcPr>
          <w:p w14:paraId="7A87A9BB" w14:textId="77777777" w:rsidR="004111AF" w:rsidRPr="008D1B3A" w:rsidRDefault="004111AF" w:rsidP="00C87439">
            <w:pPr>
              <w:shd w:val="clear" w:color="auto" w:fill="FFFFFF"/>
              <w:ind w:left="53"/>
              <w:rPr>
                <w:b/>
                <w:bCs/>
                <w:i/>
                <w:iCs/>
                <w:sz w:val="20"/>
                <w:szCs w:val="20"/>
                <w:u w:val="single"/>
                <w:lang w:val="uk-UA"/>
              </w:rPr>
            </w:pPr>
            <w:r w:rsidRPr="008D1B3A">
              <w:rPr>
                <w:b/>
                <w:bCs/>
                <w:i/>
                <w:iCs/>
                <w:sz w:val="20"/>
                <w:szCs w:val="20"/>
                <w:u w:val="single"/>
                <w:lang w:val="uk-UA"/>
              </w:rPr>
              <w:t>Фінансовий результат прибуток (збиток)</w:t>
            </w:r>
          </w:p>
        </w:tc>
        <w:tc>
          <w:tcPr>
            <w:tcW w:w="993" w:type="dxa"/>
            <w:shd w:val="clear" w:color="auto" w:fill="FFFFFF"/>
          </w:tcPr>
          <w:p w14:paraId="418771CE" w14:textId="27A828BD" w:rsidR="004111AF" w:rsidRPr="008D1B3A" w:rsidRDefault="00E41614" w:rsidP="00AC1830">
            <w:pPr>
              <w:shd w:val="clear" w:color="auto" w:fill="FFFFFF"/>
              <w:ind w:right="91"/>
              <w:jc w:val="center"/>
              <w:rPr>
                <w:b/>
                <w:bCs/>
                <w:i/>
                <w:iCs/>
                <w:sz w:val="20"/>
                <w:szCs w:val="20"/>
                <w:lang w:val="uk-UA"/>
              </w:rPr>
            </w:pPr>
            <w:r w:rsidRPr="008D1B3A">
              <w:rPr>
                <w:b/>
                <w:bCs/>
                <w:i/>
                <w:iCs/>
                <w:sz w:val="20"/>
                <w:szCs w:val="20"/>
                <w:lang w:val="uk-UA"/>
              </w:rPr>
              <w:t>6.2</w:t>
            </w:r>
          </w:p>
        </w:tc>
        <w:tc>
          <w:tcPr>
            <w:tcW w:w="2693" w:type="dxa"/>
            <w:shd w:val="clear" w:color="auto" w:fill="FFFFFF"/>
            <w:hideMark/>
          </w:tcPr>
          <w:p w14:paraId="0425C3E1" w14:textId="2A540DF6" w:rsidR="004111AF" w:rsidRPr="008D1B3A" w:rsidRDefault="004111AF" w:rsidP="00C87439">
            <w:pPr>
              <w:shd w:val="clear" w:color="auto" w:fill="FFFFFF"/>
              <w:jc w:val="center"/>
              <w:rPr>
                <w:b/>
                <w:bCs/>
                <w:i/>
                <w:iCs/>
                <w:sz w:val="20"/>
                <w:szCs w:val="20"/>
                <w:u w:val="single"/>
                <w:lang w:val="uk-UA"/>
              </w:rPr>
            </w:pPr>
            <w:r w:rsidRPr="008D1B3A">
              <w:rPr>
                <w:b/>
                <w:bCs/>
                <w:i/>
                <w:iCs/>
                <w:sz w:val="20"/>
                <w:szCs w:val="20"/>
                <w:u w:val="single"/>
                <w:lang w:val="uk-UA"/>
              </w:rPr>
              <w:t>(</w:t>
            </w:r>
            <w:r w:rsidR="00665F88" w:rsidRPr="008D1B3A">
              <w:rPr>
                <w:b/>
                <w:bCs/>
                <w:i/>
                <w:iCs/>
                <w:sz w:val="20"/>
                <w:szCs w:val="20"/>
                <w:u w:val="single"/>
                <w:lang w:val="en-US"/>
              </w:rPr>
              <w:t>184</w:t>
            </w:r>
            <w:r w:rsidRPr="008D1B3A">
              <w:rPr>
                <w:b/>
                <w:bCs/>
                <w:i/>
                <w:iCs/>
                <w:sz w:val="20"/>
                <w:szCs w:val="20"/>
                <w:u w:val="single"/>
                <w:lang w:val="uk-UA"/>
              </w:rPr>
              <w:t>)</w:t>
            </w:r>
          </w:p>
        </w:tc>
      </w:tr>
      <w:tr w:rsidR="004111AF" w:rsidRPr="00AC1830" w14:paraId="7A489FB9" w14:textId="77777777" w:rsidTr="00AC1830">
        <w:trPr>
          <w:trHeight w:hRule="exact" w:val="312"/>
        </w:trPr>
        <w:tc>
          <w:tcPr>
            <w:tcW w:w="6229" w:type="dxa"/>
            <w:shd w:val="clear" w:color="auto" w:fill="FFFFFF"/>
            <w:hideMark/>
          </w:tcPr>
          <w:p w14:paraId="27C8BB1D" w14:textId="77777777" w:rsidR="004111AF" w:rsidRPr="00AC1830" w:rsidRDefault="004111AF" w:rsidP="00C87439">
            <w:pPr>
              <w:shd w:val="clear" w:color="auto" w:fill="FFFFFF"/>
              <w:ind w:left="53"/>
              <w:rPr>
                <w:sz w:val="20"/>
                <w:szCs w:val="20"/>
                <w:lang w:val="uk-UA"/>
              </w:rPr>
            </w:pPr>
            <w:r w:rsidRPr="00AC1830">
              <w:rPr>
                <w:sz w:val="20"/>
                <w:szCs w:val="20"/>
                <w:lang w:val="uk-UA"/>
              </w:rPr>
              <w:t xml:space="preserve">Податок на прибуток </w:t>
            </w:r>
          </w:p>
        </w:tc>
        <w:tc>
          <w:tcPr>
            <w:tcW w:w="993" w:type="dxa"/>
            <w:shd w:val="clear" w:color="auto" w:fill="FFFFFF"/>
          </w:tcPr>
          <w:p w14:paraId="5ABF1B14" w14:textId="77777777" w:rsidR="004111AF" w:rsidRPr="00AC1830" w:rsidRDefault="004111AF" w:rsidP="00AC1830">
            <w:pPr>
              <w:shd w:val="clear" w:color="auto" w:fill="FFFFFF"/>
              <w:ind w:right="91"/>
              <w:jc w:val="center"/>
              <w:rPr>
                <w:sz w:val="20"/>
                <w:szCs w:val="20"/>
                <w:lang w:val="uk-UA"/>
              </w:rPr>
            </w:pPr>
          </w:p>
        </w:tc>
        <w:tc>
          <w:tcPr>
            <w:tcW w:w="2693" w:type="dxa"/>
            <w:shd w:val="clear" w:color="auto" w:fill="FFFFFF"/>
            <w:hideMark/>
          </w:tcPr>
          <w:p w14:paraId="707EC7E9" w14:textId="30DF1E0A" w:rsidR="004111AF" w:rsidRPr="00AC1830" w:rsidRDefault="004111AF" w:rsidP="00C87439">
            <w:pPr>
              <w:shd w:val="clear" w:color="auto" w:fill="FFFFFF"/>
              <w:jc w:val="center"/>
              <w:rPr>
                <w:sz w:val="20"/>
                <w:szCs w:val="20"/>
                <w:lang w:val="uk-UA"/>
              </w:rPr>
            </w:pPr>
            <w:r w:rsidRPr="00AC1830">
              <w:rPr>
                <w:sz w:val="20"/>
                <w:szCs w:val="20"/>
                <w:lang w:val="uk-UA"/>
              </w:rPr>
              <w:t>(</w:t>
            </w:r>
            <w:r w:rsidR="005179EA" w:rsidRPr="00AC1830">
              <w:rPr>
                <w:sz w:val="20"/>
                <w:szCs w:val="20"/>
                <w:lang w:val="uk-UA"/>
              </w:rPr>
              <w:t>-</w:t>
            </w:r>
            <w:r w:rsidRPr="00AC1830">
              <w:rPr>
                <w:sz w:val="20"/>
                <w:szCs w:val="20"/>
                <w:lang w:val="uk-UA"/>
              </w:rPr>
              <w:t>)</w:t>
            </w:r>
          </w:p>
        </w:tc>
      </w:tr>
      <w:tr w:rsidR="004111AF" w:rsidRPr="00AC1830" w14:paraId="0B40CACF" w14:textId="77777777" w:rsidTr="00AC1830">
        <w:trPr>
          <w:trHeight w:hRule="exact" w:val="312"/>
        </w:trPr>
        <w:tc>
          <w:tcPr>
            <w:tcW w:w="6229" w:type="dxa"/>
            <w:shd w:val="clear" w:color="auto" w:fill="FFFFFF"/>
            <w:hideMark/>
          </w:tcPr>
          <w:p w14:paraId="4F246542" w14:textId="77777777" w:rsidR="004111AF" w:rsidRPr="008D1B3A" w:rsidRDefault="004111AF" w:rsidP="00C87439">
            <w:pPr>
              <w:shd w:val="clear" w:color="auto" w:fill="FFFFFF"/>
              <w:ind w:left="53"/>
              <w:rPr>
                <w:b/>
                <w:bCs/>
                <w:i/>
                <w:iCs/>
                <w:sz w:val="20"/>
                <w:szCs w:val="20"/>
                <w:u w:val="single"/>
                <w:lang w:val="uk-UA"/>
              </w:rPr>
            </w:pPr>
            <w:r w:rsidRPr="008D1B3A">
              <w:rPr>
                <w:b/>
                <w:bCs/>
                <w:i/>
                <w:iCs/>
                <w:sz w:val="20"/>
                <w:szCs w:val="20"/>
                <w:u w:val="single"/>
                <w:lang w:val="uk-UA"/>
              </w:rPr>
              <w:t>Чистий фінансовий результат прибуток (збиток)</w:t>
            </w:r>
          </w:p>
        </w:tc>
        <w:tc>
          <w:tcPr>
            <w:tcW w:w="993" w:type="dxa"/>
            <w:shd w:val="clear" w:color="auto" w:fill="FFFFFF"/>
          </w:tcPr>
          <w:p w14:paraId="424D61EE" w14:textId="736C20B2" w:rsidR="004111AF" w:rsidRPr="008D1B3A" w:rsidRDefault="00A94A09" w:rsidP="00AC1830">
            <w:pPr>
              <w:shd w:val="clear" w:color="auto" w:fill="FFFFFF"/>
              <w:ind w:right="91"/>
              <w:jc w:val="center"/>
              <w:rPr>
                <w:b/>
                <w:bCs/>
                <w:i/>
                <w:iCs/>
                <w:sz w:val="20"/>
                <w:szCs w:val="20"/>
                <w:lang w:val="uk-UA"/>
              </w:rPr>
            </w:pPr>
            <w:r w:rsidRPr="008D1B3A">
              <w:rPr>
                <w:b/>
                <w:bCs/>
                <w:i/>
                <w:iCs/>
                <w:sz w:val="20"/>
                <w:szCs w:val="20"/>
                <w:lang w:val="uk-UA"/>
              </w:rPr>
              <w:t>6.2</w:t>
            </w:r>
          </w:p>
        </w:tc>
        <w:tc>
          <w:tcPr>
            <w:tcW w:w="2693" w:type="dxa"/>
            <w:shd w:val="clear" w:color="auto" w:fill="FFFFFF"/>
            <w:hideMark/>
          </w:tcPr>
          <w:p w14:paraId="2DB2AFD8" w14:textId="0BD2F359" w:rsidR="004111AF" w:rsidRPr="008D1B3A" w:rsidRDefault="005179EA" w:rsidP="00C87439">
            <w:pPr>
              <w:shd w:val="clear" w:color="auto" w:fill="FFFFFF"/>
              <w:jc w:val="center"/>
              <w:rPr>
                <w:b/>
                <w:bCs/>
                <w:i/>
                <w:iCs/>
                <w:sz w:val="20"/>
                <w:szCs w:val="20"/>
                <w:u w:val="single"/>
                <w:lang w:val="uk-UA"/>
              </w:rPr>
            </w:pPr>
            <w:r w:rsidRPr="008D1B3A">
              <w:rPr>
                <w:b/>
                <w:bCs/>
                <w:i/>
                <w:iCs/>
                <w:sz w:val="20"/>
                <w:szCs w:val="20"/>
                <w:u w:val="single"/>
                <w:lang w:val="uk-UA"/>
              </w:rPr>
              <w:t>(</w:t>
            </w:r>
            <w:r w:rsidR="00665F88" w:rsidRPr="008D1B3A">
              <w:rPr>
                <w:b/>
                <w:bCs/>
                <w:i/>
                <w:iCs/>
                <w:sz w:val="20"/>
                <w:szCs w:val="20"/>
                <w:u w:val="single"/>
                <w:lang w:val="en-US"/>
              </w:rPr>
              <w:t>184</w:t>
            </w:r>
            <w:r w:rsidRPr="008D1B3A">
              <w:rPr>
                <w:b/>
                <w:bCs/>
                <w:i/>
                <w:iCs/>
                <w:sz w:val="20"/>
                <w:szCs w:val="20"/>
                <w:u w:val="single"/>
                <w:lang w:val="uk-UA"/>
              </w:rPr>
              <w:t>)</w:t>
            </w:r>
          </w:p>
        </w:tc>
      </w:tr>
    </w:tbl>
    <w:p w14:paraId="6E64701B" w14:textId="77777777" w:rsidR="004111AF" w:rsidRPr="000E05A8" w:rsidRDefault="004111AF" w:rsidP="00A46121">
      <w:pPr>
        <w:rPr>
          <w:i/>
          <w:sz w:val="22"/>
          <w:szCs w:val="22"/>
          <w:lang w:val="uk-UA"/>
        </w:rPr>
      </w:pPr>
    </w:p>
    <w:p w14:paraId="4FB12ADC" w14:textId="6B3EF132" w:rsidR="00A46121" w:rsidRPr="000E05A8" w:rsidRDefault="00A46121" w:rsidP="00A46121">
      <w:pPr>
        <w:rPr>
          <w:i/>
          <w:color w:val="FF0000"/>
          <w:sz w:val="22"/>
          <w:szCs w:val="22"/>
          <w:lang w:val="uk-UA"/>
        </w:rPr>
      </w:pPr>
      <w:r w:rsidRPr="000E05A8">
        <w:rPr>
          <w:i/>
          <w:sz w:val="22"/>
          <w:szCs w:val="22"/>
          <w:lang w:val="uk-UA"/>
        </w:rPr>
        <w:t xml:space="preserve">Затверджено до випуску та підписано «05» </w:t>
      </w:r>
      <w:r w:rsidR="00A94A09" w:rsidRPr="000E05A8">
        <w:rPr>
          <w:i/>
          <w:sz w:val="22"/>
          <w:szCs w:val="22"/>
          <w:lang w:val="uk-UA"/>
        </w:rPr>
        <w:t>квітня</w:t>
      </w:r>
      <w:r w:rsidRPr="000E05A8">
        <w:rPr>
          <w:i/>
          <w:sz w:val="22"/>
          <w:szCs w:val="22"/>
        </w:rPr>
        <w:t xml:space="preserve"> 20</w:t>
      </w:r>
      <w:r w:rsidRPr="000E05A8">
        <w:rPr>
          <w:i/>
          <w:sz w:val="22"/>
          <w:szCs w:val="22"/>
          <w:lang w:val="uk-UA"/>
        </w:rPr>
        <w:t>2</w:t>
      </w:r>
      <w:r w:rsidR="00A94A09" w:rsidRPr="000E05A8">
        <w:rPr>
          <w:i/>
          <w:sz w:val="22"/>
          <w:szCs w:val="22"/>
          <w:lang w:val="uk-UA"/>
        </w:rPr>
        <w:t>1</w:t>
      </w:r>
      <w:r w:rsidRPr="000E05A8">
        <w:rPr>
          <w:i/>
          <w:sz w:val="22"/>
          <w:szCs w:val="22"/>
          <w:lang w:val="uk-UA"/>
        </w:rPr>
        <w:t xml:space="preserve"> р.</w:t>
      </w:r>
    </w:p>
    <w:p w14:paraId="58C726F4" w14:textId="5112AC6B" w:rsidR="00A46121" w:rsidRPr="000E05A8" w:rsidRDefault="00A46121" w:rsidP="00A46121">
      <w:pPr>
        <w:rPr>
          <w:b/>
          <w:sz w:val="22"/>
          <w:szCs w:val="22"/>
          <w:lang w:val="uk-UA"/>
        </w:rPr>
      </w:pPr>
    </w:p>
    <w:p w14:paraId="25E81319" w14:textId="4DA340F9" w:rsidR="001F07B6" w:rsidRPr="000E05A8" w:rsidRDefault="001F07B6" w:rsidP="001F07B6">
      <w:pPr>
        <w:rPr>
          <w:b/>
          <w:sz w:val="22"/>
          <w:szCs w:val="22"/>
          <w:lang w:val="uk-UA"/>
        </w:rPr>
      </w:pPr>
      <w:r w:rsidRPr="000E05A8">
        <w:rPr>
          <w:b/>
          <w:sz w:val="22"/>
          <w:szCs w:val="22"/>
          <w:lang w:val="uk-UA"/>
        </w:rPr>
        <w:t xml:space="preserve">Звіт про фінансовий стан за період, що закінчився </w:t>
      </w:r>
      <w:r w:rsidR="00980979" w:rsidRPr="000E05A8">
        <w:rPr>
          <w:b/>
          <w:sz w:val="22"/>
          <w:szCs w:val="22"/>
          <w:lang w:val="uk-UA"/>
        </w:rPr>
        <w:t>31 березня 2021</w:t>
      </w:r>
      <w:r w:rsidR="00FA7519" w:rsidRPr="000E05A8">
        <w:rPr>
          <w:b/>
          <w:sz w:val="22"/>
          <w:szCs w:val="22"/>
          <w:lang w:val="uk-UA"/>
        </w:rPr>
        <w:t xml:space="preserve"> року</w:t>
      </w:r>
    </w:p>
    <w:p w14:paraId="346EF810" w14:textId="77777777" w:rsidR="00DB37E3" w:rsidRPr="000E05A8" w:rsidRDefault="00DB37E3" w:rsidP="00DB37E3">
      <w:pPr>
        <w:jc w:val="right"/>
        <w:rPr>
          <w:sz w:val="22"/>
          <w:szCs w:val="22"/>
          <w:lang w:val="uk-UA"/>
        </w:rPr>
      </w:pPr>
      <w:r w:rsidRPr="000E05A8">
        <w:rPr>
          <w:sz w:val="22"/>
          <w:szCs w:val="22"/>
          <w:lang w:val="uk-UA"/>
        </w:rPr>
        <w:t>(тис.грн.)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134"/>
        <w:gridCol w:w="1701"/>
        <w:gridCol w:w="1843"/>
      </w:tblGrid>
      <w:tr w:rsidR="000F79B4" w:rsidRPr="00D0187A" w14:paraId="27E84C6D" w14:textId="77777777" w:rsidTr="006051C0">
        <w:trPr>
          <w:trHeight w:hRule="exact" w:val="416"/>
        </w:trPr>
        <w:tc>
          <w:tcPr>
            <w:tcW w:w="5098" w:type="dxa"/>
            <w:hideMark/>
          </w:tcPr>
          <w:p w14:paraId="2BFCDE4E" w14:textId="77777777" w:rsidR="000F79B4" w:rsidRPr="00D0187A" w:rsidRDefault="000F79B4" w:rsidP="000F79B4">
            <w:pPr>
              <w:shd w:val="clear" w:color="auto" w:fill="FFFFFF"/>
              <w:ind w:left="782"/>
              <w:rPr>
                <w:sz w:val="20"/>
                <w:szCs w:val="20"/>
                <w:lang w:val="uk-UA"/>
              </w:rPr>
            </w:pPr>
            <w:r w:rsidRPr="00D0187A">
              <w:rPr>
                <w:b/>
                <w:bCs/>
                <w:sz w:val="20"/>
                <w:szCs w:val="20"/>
                <w:lang w:val="uk-UA"/>
              </w:rPr>
              <w:t>Статті</w:t>
            </w:r>
          </w:p>
        </w:tc>
        <w:tc>
          <w:tcPr>
            <w:tcW w:w="1134" w:type="dxa"/>
            <w:hideMark/>
          </w:tcPr>
          <w:p w14:paraId="1EE92B3B" w14:textId="77777777" w:rsidR="000F79B4" w:rsidRPr="00D0187A" w:rsidRDefault="000F79B4" w:rsidP="000F79B4">
            <w:pPr>
              <w:shd w:val="clear" w:color="auto" w:fill="FFFFFF"/>
              <w:spacing w:line="283" w:lineRule="exact"/>
              <w:ind w:left="-40" w:right="96"/>
              <w:jc w:val="center"/>
              <w:rPr>
                <w:sz w:val="20"/>
                <w:szCs w:val="20"/>
                <w:lang w:val="uk-UA"/>
              </w:rPr>
            </w:pPr>
            <w:r w:rsidRPr="00D0187A">
              <w:rPr>
                <w:b/>
                <w:bCs/>
                <w:sz w:val="20"/>
                <w:szCs w:val="20"/>
                <w:lang w:val="uk-UA"/>
              </w:rPr>
              <w:t>Прим.</w:t>
            </w:r>
          </w:p>
        </w:tc>
        <w:tc>
          <w:tcPr>
            <w:tcW w:w="1701" w:type="dxa"/>
          </w:tcPr>
          <w:p w14:paraId="6D391F61" w14:textId="3EDF31F7" w:rsidR="000F79B4" w:rsidRPr="00D0187A" w:rsidRDefault="000F79B4" w:rsidP="000F79B4">
            <w:pPr>
              <w:shd w:val="clear" w:color="auto" w:fill="FFFFFF"/>
              <w:spacing w:line="288" w:lineRule="exact"/>
              <w:ind w:right="-108"/>
              <w:jc w:val="center"/>
              <w:rPr>
                <w:b/>
                <w:bCs/>
                <w:sz w:val="20"/>
                <w:szCs w:val="20"/>
                <w:lang w:val="uk-UA"/>
              </w:rPr>
            </w:pPr>
            <w:r>
              <w:rPr>
                <w:b/>
                <w:bCs/>
                <w:sz w:val="20"/>
                <w:szCs w:val="20"/>
                <w:lang w:val="uk-UA"/>
              </w:rPr>
              <w:t>31</w:t>
            </w:r>
            <w:r w:rsidRPr="00D0187A">
              <w:rPr>
                <w:b/>
                <w:bCs/>
                <w:sz w:val="20"/>
                <w:szCs w:val="20"/>
                <w:lang w:val="uk-UA"/>
              </w:rPr>
              <w:t>.</w:t>
            </w:r>
            <w:r>
              <w:rPr>
                <w:b/>
                <w:bCs/>
                <w:sz w:val="20"/>
                <w:szCs w:val="20"/>
                <w:lang w:val="uk-UA"/>
              </w:rPr>
              <w:t>12</w:t>
            </w:r>
            <w:r w:rsidRPr="00D0187A">
              <w:rPr>
                <w:b/>
                <w:bCs/>
                <w:sz w:val="20"/>
                <w:szCs w:val="20"/>
                <w:lang w:val="uk-UA"/>
              </w:rPr>
              <w:t>.</w:t>
            </w:r>
            <w:r>
              <w:rPr>
                <w:b/>
                <w:bCs/>
                <w:sz w:val="20"/>
                <w:szCs w:val="20"/>
                <w:lang w:val="uk-UA"/>
              </w:rPr>
              <w:t>2020</w:t>
            </w:r>
            <w:r w:rsidRPr="00D0187A">
              <w:rPr>
                <w:b/>
                <w:bCs/>
                <w:sz w:val="20"/>
                <w:szCs w:val="20"/>
                <w:lang w:val="uk-UA"/>
              </w:rPr>
              <w:t xml:space="preserve"> р.</w:t>
            </w:r>
          </w:p>
        </w:tc>
        <w:tc>
          <w:tcPr>
            <w:tcW w:w="1843" w:type="dxa"/>
            <w:hideMark/>
          </w:tcPr>
          <w:p w14:paraId="722C488D" w14:textId="5BABE9E7" w:rsidR="000F79B4" w:rsidRPr="00D0187A" w:rsidRDefault="000F79B4" w:rsidP="000F79B4">
            <w:pPr>
              <w:shd w:val="clear" w:color="auto" w:fill="FFFFFF"/>
              <w:spacing w:line="288" w:lineRule="exact"/>
              <w:ind w:right="-108"/>
              <w:jc w:val="center"/>
              <w:rPr>
                <w:sz w:val="20"/>
                <w:szCs w:val="20"/>
                <w:lang w:val="uk-UA"/>
              </w:rPr>
            </w:pPr>
            <w:r w:rsidRPr="00D0187A">
              <w:rPr>
                <w:b/>
                <w:bCs/>
                <w:sz w:val="20"/>
                <w:szCs w:val="20"/>
                <w:lang w:val="uk-UA"/>
              </w:rPr>
              <w:t>31.03.2021 р.</w:t>
            </w:r>
          </w:p>
        </w:tc>
      </w:tr>
      <w:tr w:rsidR="000F79B4" w:rsidRPr="00D0187A" w14:paraId="7F4A7B2C" w14:textId="77777777" w:rsidTr="006051C0">
        <w:trPr>
          <w:trHeight w:val="260"/>
        </w:trPr>
        <w:tc>
          <w:tcPr>
            <w:tcW w:w="5098" w:type="dxa"/>
          </w:tcPr>
          <w:p w14:paraId="27A57087" w14:textId="01EE45F6" w:rsidR="000F79B4" w:rsidRPr="008D1B3A" w:rsidRDefault="000F79B4" w:rsidP="000F79B4">
            <w:pPr>
              <w:shd w:val="clear" w:color="auto" w:fill="FFFFFF"/>
              <w:ind w:left="58"/>
              <w:rPr>
                <w:bCs/>
                <w:i/>
                <w:iCs/>
                <w:sz w:val="20"/>
                <w:szCs w:val="20"/>
                <w:lang w:val="uk-UA"/>
              </w:rPr>
            </w:pPr>
            <w:r w:rsidRPr="008D1B3A">
              <w:rPr>
                <w:b/>
                <w:i/>
                <w:iCs/>
                <w:sz w:val="20"/>
                <w:szCs w:val="20"/>
                <w:lang w:val="uk-UA"/>
              </w:rPr>
              <w:t>Основні засоби</w:t>
            </w:r>
          </w:p>
        </w:tc>
        <w:tc>
          <w:tcPr>
            <w:tcW w:w="1134" w:type="dxa"/>
          </w:tcPr>
          <w:p w14:paraId="10DABED1" w14:textId="2CFE8E70" w:rsidR="000F79B4" w:rsidRPr="008D1B3A" w:rsidRDefault="000F79B4" w:rsidP="000F79B4">
            <w:pPr>
              <w:shd w:val="clear" w:color="auto" w:fill="FFFFFF"/>
              <w:jc w:val="center"/>
              <w:rPr>
                <w:b/>
                <w:bCs/>
                <w:i/>
                <w:iCs/>
                <w:sz w:val="20"/>
                <w:szCs w:val="20"/>
              </w:rPr>
            </w:pPr>
            <w:r w:rsidRPr="008D1B3A">
              <w:rPr>
                <w:b/>
                <w:bCs/>
                <w:i/>
                <w:iCs/>
                <w:sz w:val="20"/>
                <w:szCs w:val="20"/>
                <w:lang w:val="en-US"/>
              </w:rPr>
              <w:t>6</w:t>
            </w:r>
            <w:r w:rsidRPr="008D1B3A">
              <w:rPr>
                <w:b/>
                <w:bCs/>
                <w:i/>
                <w:iCs/>
                <w:sz w:val="20"/>
                <w:szCs w:val="20"/>
                <w:lang w:val="uk-UA"/>
              </w:rPr>
              <w:t>.4</w:t>
            </w:r>
          </w:p>
        </w:tc>
        <w:tc>
          <w:tcPr>
            <w:tcW w:w="1701" w:type="dxa"/>
          </w:tcPr>
          <w:p w14:paraId="7B10FED1" w14:textId="138C99DD" w:rsidR="000F79B4" w:rsidRPr="008D1B3A" w:rsidRDefault="000F79B4" w:rsidP="000F79B4">
            <w:pPr>
              <w:shd w:val="clear" w:color="auto" w:fill="FFFFFF"/>
              <w:ind w:left="-9"/>
              <w:jc w:val="center"/>
              <w:rPr>
                <w:b/>
                <w:i/>
                <w:iCs/>
                <w:sz w:val="20"/>
                <w:szCs w:val="20"/>
                <w:lang w:val="en-US"/>
              </w:rPr>
            </w:pPr>
            <w:r>
              <w:rPr>
                <w:bCs/>
                <w:sz w:val="20"/>
                <w:szCs w:val="20"/>
                <w:lang w:val="uk-UA"/>
              </w:rPr>
              <w:t>39</w:t>
            </w:r>
          </w:p>
        </w:tc>
        <w:tc>
          <w:tcPr>
            <w:tcW w:w="1843" w:type="dxa"/>
          </w:tcPr>
          <w:p w14:paraId="32D70E40" w14:textId="6EA640CE" w:rsidR="000F79B4" w:rsidRPr="008D1B3A" w:rsidRDefault="000F79B4" w:rsidP="000F79B4">
            <w:pPr>
              <w:shd w:val="clear" w:color="auto" w:fill="FFFFFF"/>
              <w:ind w:left="-9"/>
              <w:jc w:val="center"/>
              <w:rPr>
                <w:bCs/>
                <w:i/>
                <w:iCs/>
                <w:sz w:val="20"/>
                <w:szCs w:val="20"/>
                <w:lang w:val="uk-UA"/>
              </w:rPr>
            </w:pPr>
            <w:r w:rsidRPr="008D1B3A">
              <w:rPr>
                <w:b/>
                <w:i/>
                <w:iCs/>
                <w:sz w:val="20"/>
                <w:szCs w:val="20"/>
                <w:lang w:val="en-US"/>
              </w:rPr>
              <w:t>41</w:t>
            </w:r>
          </w:p>
        </w:tc>
      </w:tr>
      <w:tr w:rsidR="000F79B4" w:rsidRPr="00D0187A" w14:paraId="48EF17DE" w14:textId="77777777" w:rsidTr="006051C0">
        <w:trPr>
          <w:trHeight w:val="260"/>
        </w:trPr>
        <w:tc>
          <w:tcPr>
            <w:tcW w:w="5098" w:type="dxa"/>
          </w:tcPr>
          <w:p w14:paraId="7295F884" w14:textId="2B430EEE" w:rsidR="000F79B4" w:rsidRPr="008D1B3A" w:rsidRDefault="000F79B4" w:rsidP="000F79B4">
            <w:pPr>
              <w:shd w:val="clear" w:color="auto" w:fill="FFFFFF"/>
              <w:ind w:left="58"/>
              <w:rPr>
                <w:bCs/>
                <w:i/>
                <w:iCs/>
                <w:sz w:val="20"/>
                <w:szCs w:val="20"/>
                <w:lang w:val="uk-UA"/>
              </w:rPr>
            </w:pPr>
            <w:r w:rsidRPr="008D1B3A">
              <w:rPr>
                <w:b/>
                <w:i/>
                <w:iCs/>
                <w:sz w:val="20"/>
                <w:szCs w:val="20"/>
                <w:lang w:val="uk-UA"/>
              </w:rPr>
              <w:t>Дебіторська заборгованість</w:t>
            </w:r>
            <w:r w:rsidRPr="008D1B3A">
              <w:rPr>
                <w:b/>
                <w:i/>
                <w:iCs/>
                <w:spacing w:val="-3"/>
                <w:sz w:val="20"/>
                <w:szCs w:val="20"/>
                <w:lang w:val="uk-UA"/>
              </w:rPr>
              <w:t xml:space="preserve"> </w:t>
            </w:r>
          </w:p>
        </w:tc>
        <w:tc>
          <w:tcPr>
            <w:tcW w:w="1134" w:type="dxa"/>
          </w:tcPr>
          <w:p w14:paraId="7E6BD9A2" w14:textId="77777777" w:rsidR="000F79B4" w:rsidRPr="008D1B3A" w:rsidRDefault="000F79B4" w:rsidP="000F79B4">
            <w:pPr>
              <w:shd w:val="clear" w:color="auto" w:fill="FFFFFF"/>
              <w:jc w:val="center"/>
              <w:rPr>
                <w:b/>
                <w:bCs/>
                <w:i/>
                <w:iCs/>
                <w:sz w:val="20"/>
                <w:szCs w:val="20"/>
              </w:rPr>
            </w:pPr>
          </w:p>
        </w:tc>
        <w:tc>
          <w:tcPr>
            <w:tcW w:w="1701" w:type="dxa"/>
          </w:tcPr>
          <w:p w14:paraId="2274A54A" w14:textId="77777777" w:rsidR="000F79B4" w:rsidRPr="008D1B3A" w:rsidRDefault="000F79B4" w:rsidP="000F79B4">
            <w:pPr>
              <w:shd w:val="clear" w:color="auto" w:fill="FFFFFF"/>
              <w:ind w:left="-9"/>
              <w:jc w:val="center"/>
              <w:rPr>
                <w:bCs/>
                <w:i/>
                <w:iCs/>
                <w:sz w:val="20"/>
                <w:szCs w:val="20"/>
                <w:lang w:val="uk-UA"/>
              </w:rPr>
            </w:pPr>
          </w:p>
        </w:tc>
        <w:tc>
          <w:tcPr>
            <w:tcW w:w="1843" w:type="dxa"/>
          </w:tcPr>
          <w:p w14:paraId="0A891B75" w14:textId="0F1B395F" w:rsidR="000F79B4" w:rsidRPr="008D1B3A" w:rsidRDefault="000F79B4" w:rsidP="000F79B4">
            <w:pPr>
              <w:shd w:val="clear" w:color="auto" w:fill="FFFFFF"/>
              <w:ind w:left="-9"/>
              <w:jc w:val="center"/>
              <w:rPr>
                <w:bCs/>
                <w:i/>
                <w:iCs/>
                <w:sz w:val="20"/>
                <w:szCs w:val="20"/>
                <w:lang w:val="uk-UA"/>
              </w:rPr>
            </w:pPr>
          </w:p>
        </w:tc>
      </w:tr>
      <w:tr w:rsidR="000F79B4" w:rsidRPr="00D0187A" w14:paraId="00DBCCFC" w14:textId="77777777" w:rsidTr="006051C0">
        <w:trPr>
          <w:trHeight w:val="388"/>
        </w:trPr>
        <w:tc>
          <w:tcPr>
            <w:tcW w:w="5098" w:type="dxa"/>
          </w:tcPr>
          <w:p w14:paraId="4746BFB6" w14:textId="46A096A1" w:rsidR="000F79B4" w:rsidRPr="00D0187A" w:rsidRDefault="000F79B4" w:rsidP="000F79B4">
            <w:pPr>
              <w:pStyle w:val="a8"/>
              <w:numPr>
                <w:ilvl w:val="0"/>
                <w:numId w:val="28"/>
              </w:numPr>
              <w:shd w:val="clear" w:color="auto" w:fill="FFFFFF"/>
              <w:rPr>
                <w:rFonts w:ascii="Times New Roman" w:hAnsi="Times New Roman"/>
                <w:b/>
                <w:sz w:val="20"/>
                <w:szCs w:val="20"/>
                <w:lang w:val="uk-UA"/>
              </w:rPr>
            </w:pPr>
            <w:r w:rsidRPr="00D0187A">
              <w:rPr>
                <w:rFonts w:ascii="Times New Roman" w:hAnsi="Times New Roman"/>
                <w:bCs/>
                <w:sz w:val="20"/>
                <w:szCs w:val="20"/>
                <w:lang w:val="uk-UA"/>
              </w:rPr>
              <w:t>за продукцію, товари, роботи, послуги</w:t>
            </w:r>
          </w:p>
        </w:tc>
        <w:tc>
          <w:tcPr>
            <w:tcW w:w="1134" w:type="dxa"/>
          </w:tcPr>
          <w:p w14:paraId="00359445" w14:textId="5CDFBF55" w:rsidR="000F79B4" w:rsidRPr="00D0187A" w:rsidRDefault="000F79B4" w:rsidP="000F79B4">
            <w:pPr>
              <w:shd w:val="clear" w:color="auto" w:fill="FFFFFF"/>
              <w:jc w:val="center"/>
              <w:rPr>
                <w:b/>
                <w:bCs/>
                <w:sz w:val="20"/>
                <w:szCs w:val="20"/>
                <w:lang w:val="uk-UA"/>
              </w:rPr>
            </w:pPr>
            <w:r w:rsidRPr="00D0187A">
              <w:rPr>
                <w:b/>
                <w:bCs/>
                <w:sz w:val="20"/>
                <w:szCs w:val="20"/>
                <w:lang w:val="uk-UA"/>
              </w:rPr>
              <w:t>6.5</w:t>
            </w:r>
          </w:p>
        </w:tc>
        <w:tc>
          <w:tcPr>
            <w:tcW w:w="1701" w:type="dxa"/>
          </w:tcPr>
          <w:p w14:paraId="20970999" w14:textId="08A7F6A1" w:rsidR="000F79B4" w:rsidRPr="00D0187A" w:rsidRDefault="000F79B4" w:rsidP="000F79B4">
            <w:pPr>
              <w:shd w:val="clear" w:color="auto" w:fill="FFFFFF"/>
              <w:ind w:left="-9"/>
              <w:jc w:val="center"/>
              <w:rPr>
                <w:bCs/>
                <w:sz w:val="20"/>
                <w:szCs w:val="20"/>
                <w:lang w:val="uk-UA"/>
              </w:rPr>
            </w:pPr>
            <w:r>
              <w:rPr>
                <w:bCs/>
                <w:sz w:val="20"/>
                <w:szCs w:val="20"/>
                <w:lang w:val="uk-UA"/>
              </w:rPr>
              <w:t>-</w:t>
            </w:r>
          </w:p>
        </w:tc>
        <w:tc>
          <w:tcPr>
            <w:tcW w:w="1843" w:type="dxa"/>
          </w:tcPr>
          <w:p w14:paraId="2285C4CE" w14:textId="09125D6E" w:rsidR="000F79B4" w:rsidRPr="00D0187A" w:rsidRDefault="000F79B4" w:rsidP="000F79B4">
            <w:pPr>
              <w:shd w:val="clear" w:color="auto" w:fill="FFFFFF"/>
              <w:ind w:left="-9"/>
              <w:jc w:val="center"/>
              <w:rPr>
                <w:b/>
                <w:sz w:val="20"/>
                <w:szCs w:val="20"/>
              </w:rPr>
            </w:pPr>
            <w:r w:rsidRPr="00D0187A">
              <w:rPr>
                <w:bCs/>
                <w:sz w:val="20"/>
                <w:szCs w:val="20"/>
                <w:lang w:val="uk-UA"/>
              </w:rPr>
              <w:t>58</w:t>
            </w:r>
          </w:p>
        </w:tc>
      </w:tr>
      <w:tr w:rsidR="000F79B4" w:rsidRPr="00D0187A" w14:paraId="3DA8AAB6" w14:textId="77777777" w:rsidTr="006051C0">
        <w:trPr>
          <w:trHeight w:hRule="exact" w:val="312"/>
        </w:trPr>
        <w:tc>
          <w:tcPr>
            <w:tcW w:w="5098" w:type="dxa"/>
            <w:hideMark/>
          </w:tcPr>
          <w:p w14:paraId="610BAFC6" w14:textId="3AC8DA3F" w:rsidR="000F79B4" w:rsidRPr="00D0187A" w:rsidRDefault="000F79B4" w:rsidP="000F79B4">
            <w:pPr>
              <w:pStyle w:val="a8"/>
              <w:numPr>
                <w:ilvl w:val="0"/>
                <w:numId w:val="28"/>
              </w:numPr>
              <w:shd w:val="clear" w:color="auto" w:fill="FFFFFF"/>
              <w:rPr>
                <w:rFonts w:ascii="Times New Roman" w:hAnsi="Times New Roman"/>
                <w:b/>
                <w:spacing w:val="-3"/>
                <w:sz w:val="20"/>
                <w:szCs w:val="20"/>
                <w:lang w:val="uk-UA"/>
              </w:rPr>
            </w:pPr>
            <w:r w:rsidRPr="00D0187A">
              <w:rPr>
                <w:rFonts w:ascii="Times New Roman" w:hAnsi="Times New Roman"/>
                <w:sz w:val="20"/>
                <w:szCs w:val="20"/>
                <w:lang w:val="uk-UA"/>
              </w:rPr>
              <w:t>за виданими авансами</w:t>
            </w:r>
          </w:p>
        </w:tc>
        <w:tc>
          <w:tcPr>
            <w:tcW w:w="1134" w:type="dxa"/>
          </w:tcPr>
          <w:p w14:paraId="18631F84" w14:textId="466976BB" w:rsidR="000F79B4" w:rsidRPr="00D0187A" w:rsidRDefault="000F79B4" w:rsidP="000F79B4">
            <w:pPr>
              <w:shd w:val="clear" w:color="auto" w:fill="FFFFFF"/>
              <w:jc w:val="center"/>
              <w:rPr>
                <w:b/>
                <w:bCs/>
                <w:sz w:val="20"/>
                <w:szCs w:val="20"/>
                <w:lang w:val="uk-UA"/>
              </w:rPr>
            </w:pPr>
            <w:r w:rsidRPr="00D0187A">
              <w:rPr>
                <w:b/>
                <w:bCs/>
                <w:sz w:val="20"/>
                <w:szCs w:val="20"/>
                <w:lang w:val="uk-UA"/>
              </w:rPr>
              <w:t>6.5</w:t>
            </w:r>
          </w:p>
        </w:tc>
        <w:tc>
          <w:tcPr>
            <w:tcW w:w="1701" w:type="dxa"/>
          </w:tcPr>
          <w:p w14:paraId="2D6AD9A3" w14:textId="2EAD29CC" w:rsidR="000F79B4" w:rsidRPr="000F79B4" w:rsidRDefault="000F79B4" w:rsidP="000F79B4">
            <w:pPr>
              <w:shd w:val="clear" w:color="auto" w:fill="FFFFFF"/>
              <w:ind w:left="-9"/>
              <w:jc w:val="center"/>
              <w:rPr>
                <w:sz w:val="20"/>
                <w:szCs w:val="20"/>
                <w:lang w:val="uk-UA"/>
              </w:rPr>
            </w:pPr>
            <w:r>
              <w:rPr>
                <w:sz w:val="20"/>
                <w:szCs w:val="20"/>
                <w:lang w:val="uk-UA"/>
              </w:rPr>
              <w:t>2</w:t>
            </w:r>
          </w:p>
        </w:tc>
        <w:tc>
          <w:tcPr>
            <w:tcW w:w="1843" w:type="dxa"/>
          </w:tcPr>
          <w:p w14:paraId="2DBCC39A" w14:textId="62CB5438" w:rsidR="000F79B4" w:rsidRPr="00D0187A" w:rsidRDefault="000F79B4" w:rsidP="000F79B4">
            <w:pPr>
              <w:shd w:val="clear" w:color="auto" w:fill="FFFFFF"/>
              <w:ind w:left="-9"/>
              <w:jc w:val="center"/>
              <w:rPr>
                <w:b/>
                <w:sz w:val="20"/>
                <w:szCs w:val="20"/>
                <w:lang w:val="uk-UA"/>
              </w:rPr>
            </w:pPr>
            <w:r w:rsidRPr="00D0187A">
              <w:rPr>
                <w:sz w:val="20"/>
                <w:szCs w:val="20"/>
                <w:lang w:val="en-US"/>
              </w:rPr>
              <w:t>2</w:t>
            </w:r>
          </w:p>
        </w:tc>
      </w:tr>
      <w:tr w:rsidR="000F79B4" w:rsidRPr="00D0187A" w14:paraId="3DD0BD31" w14:textId="77777777" w:rsidTr="006051C0">
        <w:trPr>
          <w:trHeight w:hRule="exact" w:val="278"/>
        </w:trPr>
        <w:tc>
          <w:tcPr>
            <w:tcW w:w="5098" w:type="dxa"/>
          </w:tcPr>
          <w:p w14:paraId="41B8CBA5" w14:textId="10A3F42A" w:rsidR="000F79B4" w:rsidRPr="00D0187A" w:rsidRDefault="000F79B4" w:rsidP="000F79B4">
            <w:pPr>
              <w:pStyle w:val="a8"/>
              <w:numPr>
                <w:ilvl w:val="0"/>
                <w:numId w:val="28"/>
              </w:numPr>
              <w:shd w:val="clear" w:color="auto" w:fill="FFFFFF"/>
              <w:rPr>
                <w:rFonts w:ascii="Times New Roman" w:hAnsi="Times New Roman"/>
                <w:sz w:val="20"/>
                <w:szCs w:val="20"/>
                <w:lang w:val="uk-UA"/>
              </w:rPr>
            </w:pPr>
            <w:r w:rsidRPr="00D0187A">
              <w:rPr>
                <w:rFonts w:ascii="Times New Roman" w:hAnsi="Times New Roman"/>
                <w:sz w:val="20"/>
                <w:szCs w:val="20"/>
                <w:lang w:val="uk-UA"/>
              </w:rPr>
              <w:t>з бюджетом</w:t>
            </w:r>
          </w:p>
        </w:tc>
        <w:tc>
          <w:tcPr>
            <w:tcW w:w="1134" w:type="dxa"/>
          </w:tcPr>
          <w:p w14:paraId="69695A1F" w14:textId="7D1FBE71" w:rsidR="000F79B4" w:rsidRPr="00D0187A" w:rsidRDefault="000F79B4" w:rsidP="000F79B4">
            <w:pPr>
              <w:shd w:val="clear" w:color="auto" w:fill="FFFFFF"/>
              <w:jc w:val="center"/>
              <w:rPr>
                <w:b/>
                <w:bCs/>
                <w:sz w:val="20"/>
                <w:szCs w:val="20"/>
                <w:lang w:val="uk-UA"/>
              </w:rPr>
            </w:pPr>
            <w:r w:rsidRPr="00D0187A">
              <w:rPr>
                <w:b/>
                <w:bCs/>
                <w:sz w:val="20"/>
                <w:szCs w:val="20"/>
                <w:lang w:val="uk-UA"/>
              </w:rPr>
              <w:t>6.5</w:t>
            </w:r>
          </w:p>
        </w:tc>
        <w:tc>
          <w:tcPr>
            <w:tcW w:w="1701" w:type="dxa"/>
          </w:tcPr>
          <w:p w14:paraId="08AAD262" w14:textId="00020CBB" w:rsidR="000F79B4" w:rsidRPr="00D0187A" w:rsidRDefault="000F79B4" w:rsidP="000F79B4">
            <w:pPr>
              <w:shd w:val="clear" w:color="auto" w:fill="FFFFFF"/>
              <w:ind w:left="-9"/>
              <w:jc w:val="center"/>
              <w:rPr>
                <w:sz w:val="20"/>
                <w:szCs w:val="20"/>
                <w:lang w:val="uk-UA"/>
              </w:rPr>
            </w:pPr>
            <w:r>
              <w:rPr>
                <w:sz w:val="20"/>
                <w:szCs w:val="20"/>
                <w:lang w:val="uk-UA"/>
              </w:rPr>
              <w:t>22</w:t>
            </w:r>
          </w:p>
        </w:tc>
        <w:tc>
          <w:tcPr>
            <w:tcW w:w="1843" w:type="dxa"/>
          </w:tcPr>
          <w:p w14:paraId="09B347A8" w14:textId="6A02CE22" w:rsidR="000F79B4" w:rsidRPr="00D0187A" w:rsidRDefault="000F79B4" w:rsidP="000F79B4">
            <w:pPr>
              <w:shd w:val="clear" w:color="auto" w:fill="FFFFFF"/>
              <w:ind w:left="-9"/>
              <w:jc w:val="center"/>
              <w:rPr>
                <w:sz w:val="20"/>
                <w:szCs w:val="20"/>
                <w:lang w:val="uk-UA"/>
              </w:rPr>
            </w:pPr>
            <w:r w:rsidRPr="00D0187A">
              <w:rPr>
                <w:sz w:val="20"/>
                <w:szCs w:val="20"/>
                <w:lang w:val="uk-UA"/>
              </w:rPr>
              <w:t>44</w:t>
            </w:r>
          </w:p>
        </w:tc>
      </w:tr>
      <w:tr w:rsidR="000F79B4" w:rsidRPr="00D0187A" w14:paraId="752E6476" w14:textId="77777777" w:rsidTr="006051C0">
        <w:trPr>
          <w:trHeight w:val="238"/>
        </w:trPr>
        <w:tc>
          <w:tcPr>
            <w:tcW w:w="5098" w:type="dxa"/>
          </w:tcPr>
          <w:p w14:paraId="67AD3A79" w14:textId="77292CF3" w:rsidR="000F79B4" w:rsidRPr="008D1B3A" w:rsidRDefault="0045188A" w:rsidP="000F79B4">
            <w:pPr>
              <w:shd w:val="clear" w:color="auto" w:fill="FFFFFF"/>
              <w:spacing w:line="221" w:lineRule="exact"/>
              <w:ind w:left="5" w:right="-40"/>
              <w:rPr>
                <w:b/>
                <w:i/>
                <w:iCs/>
                <w:sz w:val="20"/>
                <w:szCs w:val="20"/>
                <w:lang w:val="uk-UA"/>
              </w:rPr>
            </w:pPr>
            <w:r>
              <w:rPr>
                <w:b/>
                <w:bCs/>
                <w:i/>
                <w:iCs/>
                <w:sz w:val="20"/>
                <w:szCs w:val="20"/>
                <w:lang w:val="uk-UA"/>
              </w:rPr>
              <w:t>Поточні фінансові інвестиції</w:t>
            </w:r>
          </w:p>
        </w:tc>
        <w:tc>
          <w:tcPr>
            <w:tcW w:w="1134" w:type="dxa"/>
          </w:tcPr>
          <w:p w14:paraId="7BA9355B" w14:textId="7D0D1FE4" w:rsidR="000F79B4" w:rsidRPr="008D1B3A" w:rsidRDefault="000F79B4" w:rsidP="000F79B4">
            <w:pPr>
              <w:shd w:val="clear" w:color="auto" w:fill="FFFFFF"/>
              <w:jc w:val="center"/>
              <w:rPr>
                <w:b/>
                <w:i/>
                <w:iCs/>
                <w:sz w:val="20"/>
                <w:szCs w:val="20"/>
                <w:lang w:val="uk-UA"/>
              </w:rPr>
            </w:pPr>
            <w:r w:rsidRPr="008D1B3A">
              <w:rPr>
                <w:b/>
                <w:i/>
                <w:iCs/>
                <w:sz w:val="20"/>
                <w:szCs w:val="20"/>
                <w:lang w:val="uk-UA"/>
              </w:rPr>
              <w:t>5.4, 6.6</w:t>
            </w:r>
          </w:p>
        </w:tc>
        <w:tc>
          <w:tcPr>
            <w:tcW w:w="1701" w:type="dxa"/>
          </w:tcPr>
          <w:p w14:paraId="265FDFE3" w14:textId="107FF459" w:rsidR="000F79B4" w:rsidRPr="008D1B3A" w:rsidRDefault="0045188A" w:rsidP="000F79B4">
            <w:pPr>
              <w:shd w:val="clear" w:color="auto" w:fill="FFFFFF"/>
              <w:ind w:left="-9"/>
              <w:jc w:val="center"/>
              <w:rPr>
                <w:b/>
                <w:i/>
                <w:iCs/>
                <w:sz w:val="20"/>
                <w:szCs w:val="20"/>
                <w:lang w:val="uk-UA"/>
              </w:rPr>
            </w:pPr>
            <w:r>
              <w:rPr>
                <w:b/>
                <w:i/>
                <w:iCs/>
                <w:sz w:val="20"/>
                <w:szCs w:val="20"/>
                <w:lang w:val="uk-UA"/>
              </w:rPr>
              <w:t>6 991</w:t>
            </w:r>
          </w:p>
        </w:tc>
        <w:tc>
          <w:tcPr>
            <w:tcW w:w="1843" w:type="dxa"/>
          </w:tcPr>
          <w:p w14:paraId="2570D880" w14:textId="7AD70821" w:rsidR="000F79B4" w:rsidRPr="008D1B3A" w:rsidRDefault="000F79B4" w:rsidP="000F79B4">
            <w:pPr>
              <w:shd w:val="clear" w:color="auto" w:fill="FFFFFF"/>
              <w:ind w:left="-9"/>
              <w:jc w:val="center"/>
              <w:rPr>
                <w:b/>
                <w:i/>
                <w:iCs/>
                <w:sz w:val="20"/>
                <w:szCs w:val="20"/>
                <w:lang w:val="uk-UA"/>
              </w:rPr>
            </w:pPr>
            <w:r w:rsidRPr="008D1B3A">
              <w:rPr>
                <w:b/>
                <w:i/>
                <w:iCs/>
                <w:sz w:val="20"/>
                <w:szCs w:val="20"/>
                <w:lang w:val="uk-UA"/>
              </w:rPr>
              <w:t>6 895</w:t>
            </w:r>
          </w:p>
        </w:tc>
      </w:tr>
      <w:tr w:rsidR="000F79B4" w:rsidRPr="00D0187A" w14:paraId="03E21B5D" w14:textId="77777777" w:rsidTr="006051C0">
        <w:trPr>
          <w:trHeight w:val="238"/>
        </w:trPr>
        <w:tc>
          <w:tcPr>
            <w:tcW w:w="5098" w:type="dxa"/>
            <w:hideMark/>
          </w:tcPr>
          <w:p w14:paraId="4F30493B" w14:textId="3875D496" w:rsidR="000F79B4" w:rsidRPr="008D1B3A" w:rsidRDefault="000F79B4" w:rsidP="000F79B4">
            <w:pPr>
              <w:shd w:val="clear" w:color="auto" w:fill="FFFFFF"/>
              <w:spacing w:line="221" w:lineRule="exact"/>
              <w:ind w:left="5" w:right="-40"/>
              <w:rPr>
                <w:b/>
                <w:i/>
                <w:iCs/>
                <w:sz w:val="20"/>
                <w:szCs w:val="20"/>
                <w:lang w:val="uk-UA"/>
              </w:rPr>
            </w:pPr>
            <w:r w:rsidRPr="008D1B3A">
              <w:rPr>
                <w:b/>
                <w:i/>
                <w:iCs/>
                <w:sz w:val="20"/>
                <w:szCs w:val="20"/>
                <w:lang w:val="uk-UA"/>
              </w:rPr>
              <w:t>Грошові кошти та ії еквіваленти</w:t>
            </w:r>
          </w:p>
        </w:tc>
        <w:tc>
          <w:tcPr>
            <w:tcW w:w="1134" w:type="dxa"/>
          </w:tcPr>
          <w:p w14:paraId="0A762BA3" w14:textId="7F891F4F" w:rsidR="000F79B4" w:rsidRPr="008D1B3A" w:rsidRDefault="000F79B4" w:rsidP="000F79B4">
            <w:pPr>
              <w:shd w:val="clear" w:color="auto" w:fill="FFFFFF"/>
              <w:jc w:val="center"/>
              <w:rPr>
                <w:b/>
                <w:i/>
                <w:iCs/>
                <w:sz w:val="20"/>
                <w:szCs w:val="20"/>
                <w:lang w:val="uk-UA"/>
              </w:rPr>
            </w:pPr>
            <w:r w:rsidRPr="008D1B3A">
              <w:rPr>
                <w:b/>
                <w:i/>
                <w:iCs/>
                <w:sz w:val="20"/>
                <w:szCs w:val="20"/>
                <w:lang w:val="uk-UA"/>
              </w:rPr>
              <w:t>6.7</w:t>
            </w:r>
          </w:p>
        </w:tc>
        <w:tc>
          <w:tcPr>
            <w:tcW w:w="1701" w:type="dxa"/>
          </w:tcPr>
          <w:p w14:paraId="770B67F2" w14:textId="74C0C849" w:rsidR="000F79B4" w:rsidRPr="008D1B3A" w:rsidRDefault="0045188A" w:rsidP="000F79B4">
            <w:pPr>
              <w:shd w:val="clear" w:color="auto" w:fill="FFFFFF"/>
              <w:ind w:left="-9"/>
              <w:jc w:val="center"/>
              <w:rPr>
                <w:b/>
                <w:i/>
                <w:iCs/>
                <w:sz w:val="20"/>
                <w:szCs w:val="20"/>
                <w:lang w:val="uk-UA"/>
              </w:rPr>
            </w:pPr>
            <w:r>
              <w:rPr>
                <w:b/>
                <w:i/>
                <w:iCs/>
                <w:sz w:val="20"/>
                <w:szCs w:val="20"/>
                <w:lang w:val="uk-UA"/>
              </w:rPr>
              <w:t>115</w:t>
            </w:r>
          </w:p>
        </w:tc>
        <w:tc>
          <w:tcPr>
            <w:tcW w:w="1843" w:type="dxa"/>
          </w:tcPr>
          <w:p w14:paraId="7274BF77" w14:textId="03D3FFDD" w:rsidR="000F79B4" w:rsidRPr="008D1B3A" w:rsidRDefault="000F79B4" w:rsidP="000F79B4">
            <w:pPr>
              <w:shd w:val="clear" w:color="auto" w:fill="FFFFFF"/>
              <w:ind w:left="-9"/>
              <w:jc w:val="center"/>
              <w:rPr>
                <w:b/>
                <w:i/>
                <w:iCs/>
                <w:sz w:val="20"/>
                <w:szCs w:val="20"/>
                <w:lang w:val="uk-UA"/>
              </w:rPr>
            </w:pPr>
            <w:r w:rsidRPr="008D1B3A">
              <w:rPr>
                <w:b/>
                <w:i/>
                <w:iCs/>
                <w:sz w:val="20"/>
                <w:szCs w:val="20"/>
                <w:lang w:val="uk-UA"/>
              </w:rPr>
              <w:t>147</w:t>
            </w:r>
          </w:p>
        </w:tc>
      </w:tr>
      <w:tr w:rsidR="000F79B4" w:rsidRPr="00D0187A" w14:paraId="1B11975D" w14:textId="77777777" w:rsidTr="006051C0">
        <w:trPr>
          <w:trHeight w:hRule="exact" w:val="303"/>
        </w:trPr>
        <w:tc>
          <w:tcPr>
            <w:tcW w:w="5098" w:type="dxa"/>
            <w:hideMark/>
          </w:tcPr>
          <w:p w14:paraId="6D51276F" w14:textId="77777777" w:rsidR="000F79B4" w:rsidRPr="008D1B3A" w:rsidRDefault="000F79B4" w:rsidP="000F79B4">
            <w:pPr>
              <w:shd w:val="clear" w:color="auto" w:fill="FFFFFF"/>
              <w:spacing w:line="216" w:lineRule="exact"/>
              <w:ind w:left="5" w:right="-40"/>
              <w:rPr>
                <w:b/>
                <w:i/>
                <w:iCs/>
                <w:sz w:val="20"/>
                <w:szCs w:val="20"/>
                <w:u w:val="single"/>
                <w:lang w:val="uk-UA"/>
              </w:rPr>
            </w:pPr>
            <w:r w:rsidRPr="008D1B3A">
              <w:rPr>
                <w:b/>
                <w:bCs/>
                <w:i/>
                <w:iCs/>
                <w:sz w:val="20"/>
                <w:szCs w:val="20"/>
                <w:u w:val="single"/>
                <w:lang w:val="uk-UA"/>
              </w:rPr>
              <w:t>Усього, активів</w:t>
            </w:r>
          </w:p>
        </w:tc>
        <w:tc>
          <w:tcPr>
            <w:tcW w:w="1134" w:type="dxa"/>
          </w:tcPr>
          <w:p w14:paraId="5D62C223" w14:textId="77777777" w:rsidR="000F79B4" w:rsidRPr="008D1B3A" w:rsidRDefault="000F79B4" w:rsidP="000F79B4">
            <w:pPr>
              <w:shd w:val="clear" w:color="auto" w:fill="FFFFFF"/>
              <w:rPr>
                <w:i/>
                <w:iCs/>
                <w:sz w:val="20"/>
                <w:szCs w:val="20"/>
                <w:u w:val="single"/>
                <w:lang w:val="uk-UA"/>
              </w:rPr>
            </w:pPr>
          </w:p>
        </w:tc>
        <w:tc>
          <w:tcPr>
            <w:tcW w:w="1701" w:type="dxa"/>
          </w:tcPr>
          <w:p w14:paraId="2F5FA4B1" w14:textId="5F63126F" w:rsidR="000F79B4" w:rsidRPr="008D1B3A" w:rsidRDefault="0045188A" w:rsidP="000F79B4">
            <w:pPr>
              <w:shd w:val="clear" w:color="auto" w:fill="FFFFFF"/>
              <w:ind w:left="-9"/>
              <w:jc w:val="center"/>
              <w:rPr>
                <w:b/>
                <w:i/>
                <w:iCs/>
                <w:sz w:val="20"/>
                <w:szCs w:val="20"/>
                <w:u w:val="single"/>
                <w:lang w:val="uk-UA"/>
              </w:rPr>
            </w:pPr>
            <w:r>
              <w:rPr>
                <w:b/>
                <w:i/>
                <w:iCs/>
                <w:sz w:val="20"/>
                <w:szCs w:val="20"/>
                <w:u w:val="single"/>
                <w:lang w:val="uk-UA"/>
              </w:rPr>
              <w:t>7 169</w:t>
            </w:r>
          </w:p>
        </w:tc>
        <w:tc>
          <w:tcPr>
            <w:tcW w:w="1843" w:type="dxa"/>
          </w:tcPr>
          <w:p w14:paraId="30BE9973" w14:textId="4961289B" w:rsidR="000F79B4" w:rsidRPr="008D1B3A" w:rsidRDefault="000F79B4" w:rsidP="000F79B4">
            <w:pPr>
              <w:shd w:val="clear" w:color="auto" w:fill="FFFFFF"/>
              <w:ind w:left="-9"/>
              <w:jc w:val="center"/>
              <w:rPr>
                <w:b/>
                <w:i/>
                <w:iCs/>
                <w:sz w:val="20"/>
                <w:szCs w:val="20"/>
                <w:u w:val="single"/>
                <w:lang w:val="uk-UA"/>
              </w:rPr>
            </w:pPr>
            <w:r w:rsidRPr="008D1B3A">
              <w:rPr>
                <w:b/>
                <w:i/>
                <w:iCs/>
                <w:sz w:val="20"/>
                <w:szCs w:val="20"/>
                <w:u w:val="single"/>
                <w:lang w:val="uk-UA"/>
              </w:rPr>
              <w:t>7188</w:t>
            </w:r>
          </w:p>
        </w:tc>
      </w:tr>
      <w:tr w:rsidR="000F79B4" w:rsidRPr="00D0187A" w14:paraId="20ADF5DC" w14:textId="77777777" w:rsidTr="006051C0">
        <w:trPr>
          <w:trHeight w:hRule="exact" w:val="279"/>
        </w:trPr>
        <w:tc>
          <w:tcPr>
            <w:tcW w:w="5098" w:type="dxa"/>
            <w:hideMark/>
          </w:tcPr>
          <w:p w14:paraId="0CE8824F" w14:textId="77777777" w:rsidR="000F79B4" w:rsidRPr="00D0187A" w:rsidRDefault="000F79B4" w:rsidP="000F79B4">
            <w:pPr>
              <w:shd w:val="clear" w:color="auto" w:fill="FFFFFF"/>
              <w:ind w:left="5"/>
              <w:rPr>
                <w:b/>
                <w:bCs/>
                <w:sz w:val="20"/>
                <w:szCs w:val="20"/>
                <w:lang w:val="uk-UA"/>
              </w:rPr>
            </w:pPr>
            <w:r w:rsidRPr="00D0187A">
              <w:rPr>
                <w:b/>
                <w:bCs/>
                <w:sz w:val="20"/>
                <w:szCs w:val="20"/>
                <w:lang w:val="uk-UA"/>
              </w:rPr>
              <w:t>Статутний капітал</w:t>
            </w:r>
          </w:p>
        </w:tc>
        <w:tc>
          <w:tcPr>
            <w:tcW w:w="1134" w:type="dxa"/>
          </w:tcPr>
          <w:p w14:paraId="4EDBDB07" w14:textId="05C8D18B" w:rsidR="000F79B4" w:rsidRPr="00D0187A" w:rsidRDefault="000F79B4" w:rsidP="000F79B4">
            <w:pPr>
              <w:shd w:val="clear" w:color="auto" w:fill="FFFFFF"/>
              <w:jc w:val="center"/>
              <w:rPr>
                <w:b/>
                <w:bCs/>
                <w:sz w:val="20"/>
                <w:szCs w:val="20"/>
                <w:lang w:val="uk-UA"/>
              </w:rPr>
            </w:pPr>
            <w:r w:rsidRPr="00D0187A">
              <w:rPr>
                <w:b/>
                <w:bCs/>
                <w:sz w:val="20"/>
                <w:szCs w:val="20"/>
                <w:lang w:val="uk-UA"/>
              </w:rPr>
              <w:t>6.8</w:t>
            </w:r>
          </w:p>
        </w:tc>
        <w:tc>
          <w:tcPr>
            <w:tcW w:w="1701" w:type="dxa"/>
          </w:tcPr>
          <w:p w14:paraId="609612DD" w14:textId="35A889B0" w:rsidR="000F79B4" w:rsidRPr="00D0187A" w:rsidRDefault="0045188A" w:rsidP="000F79B4">
            <w:pPr>
              <w:shd w:val="clear" w:color="auto" w:fill="FFFFFF"/>
              <w:ind w:left="-9"/>
              <w:jc w:val="center"/>
              <w:rPr>
                <w:b/>
                <w:bCs/>
                <w:sz w:val="20"/>
                <w:szCs w:val="20"/>
                <w:lang w:val="uk-UA"/>
              </w:rPr>
            </w:pPr>
            <w:r>
              <w:rPr>
                <w:b/>
                <w:bCs/>
                <w:sz w:val="20"/>
                <w:szCs w:val="20"/>
                <w:lang w:val="uk-UA"/>
              </w:rPr>
              <w:t>7 500</w:t>
            </w:r>
          </w:p>
        </w:tc>
        <w:tc>
          <w:tcPr>
            <w:tcW w:w="1843" w:type="dxa"/>
          </w:tcPr>
          <w:p w14:paraId="636E7C93" w14:textId="6856AF75" w:rsidR="000F79B4" w:rsidRPr="00D0187A" w:rsidRDefault="000F79B4" w:rsidP="000F79B4">
            <w:pPr>
              <w:shd w:val="clear" w:color="auto" w:fill="FFFFFF"/>
              <w:ind w:left="-9"/>
              <w:jc w:val="center"/>
              <w:rPr>
                <w:b/>
                <w:bCs/>
                <w:sz w:val="20"/>
                <w:szCs w:val="20"/>
                <w:lang w:val="uk-UA"/>
              </w:rPr>
            </w:pPr>
            <w:r w:rsidRPr="00D0187A">
              <w:rPr>
                <w:b/>
                <w:bCs/>
                <w:sz w:val="20"/>
                <w:szCs w:val="20"/>
                <w:lang w:val="uk-UA"/>
              </w:rPr>
              <w:t>7 500</w:t>
            </w:r>
          </w:p>
        </w:tc>
      </w:tr>
      <w:tr w:rsidR="000F79B4" w:rsidRPr="00D0187A" w14:paraId="5CEAB803" w14:textId="77777777" w:rsidTr="006051C0">
        <w:trPr>
          <w:trHeight w:val="259"/>
        </w:trPr>
        <w:tc>
          <w:tcPr>
            <w:tcW w:w="5098" w:type="dxa"/>
            <w:hideMark/>
          </w:tcPr>
          <w:p w14:paraId="71CED6C5" w14:textId="1AD2E66E" w:rsidR="000F79B4" w:rsidRPr="00D0187A" w:rsidRDefault="000F79B4" w:rsidP="000F79B4">
            <w:pPr>
              <w:shd w:val="clear" w:color="auto" w:fill="FFFFFF"/>
              <w:spacing w:line="221" w:lineRule="exact"/>
              <w:ind w:left="5" w:right="686"/>
              <w:rPr>
                <w:sz w:val="20"/>
                <w:szCs w:val="20"/>
                <w:lang w:val="uk-UA"/>
              </w:rPr>
            </w:pPr>
            <w:r w:rsidRPr="00D0187A">
              <w:rPr>
                <w:sz w:val="20"/>
                <w:szCs w:val="20"/>
                <w:lang w:val="uk-UA"/>
              </w:rPr>
              <w:t>Нерозподілені прибутки/непокритий збиток</w:t>
            </w:r>
          </w:p>
        </w:tc>
        <w:tc>
          <w:tcPr>
            <w:tcW w:w="1134" w:type="dxa"/>
          </w:tcPr>
          <w:p w14:paraId="27122EB7" w14:textId="4D0F199A" w:rsidR="000F79B4" w:rsidRPr="00D0187A" w:rsidRDefault="000F79B4" w:rsidP="000F79B4">
            <w:pPr>
              <w:shd w:val="clear" w:color="auto" w:fill="FFFFFF"/>
              <w:jc w:val="center"/>
              <w:rPr>
                <w:b/>
                <w:bCs/>
                <w:sz w:val="20"/>
                <w:szCs w:val="20"/>
                <w:lang w:val="uk-UA"/>
              </w:rPr>
            </w:pPr>
            <w:r w:rsidRPr="00D0187A">
              <w:rPr>
                <w:b/>
                <w:bCs/>
                <w:sz w:val="20"/>
                <w:szCs w:val="20"/>
                <w:lang w:val="uk-UA"/>
              </w:rPr>
              <w:t>6.1, 6.2</w:t>
            </w:r>
          </w:p>
        </w:tc>
        <w:tc>
          <w:tcPr>
            <w:tcW w:w="1701" w:type="dxa"/>
          </w:tcPr>
          <w:p w14:paraId="1B065ACD" w14:textId="0FD311BB" w:rsidR="000F79B4" w:rsidRPr="00D0187A" w:rsidRDefault="0045188A" w:rsidP="000F79B4">
            <w:pPr>
              <w:shd w:val="clear" w:color="auto" w:fill="FFFFFF"/>
              <w:ind w:left="-9"/>
              <w:jc w:val="center"/>
              <w:rPr>
                <w:sz w:val="20"/>
                <w:szCs w:val="20"/>
                <w:lang w:val="uk-UA"/>
              </w:rPr>
            </w:pPr>
            <w:r>
              <w:rPr>
                <w:sz w:val="20"/>
                <w:szCs w:val="20"/>
                <w:lang w:val="uk-UA"/>
              </w:rPr>
              <w:t>(338)</w:t>
            </w:r>
          </w:p>
        </w:tc>
        <w:tc>
          <w:tcPr>
            <w:tcW w:w="1843" w:type="dxa"/>
          </w:tcPr>
          <w:p w14:paraId="7F96F2BA" w14:textId="4BC33649" w:rsidR="000F79B4" w:rsidRPr="00D0187A" w:rsidRDefault="000F79B4" w:rsidP="000F79B4">
            <w:pPr>
              <w:shd w:val="clear" w:color="auto" w:fill="FFFFFF"/>
              <w:ind w:left="-9"/>
              <w:jc w:val="center"/>
              <w:rPr>
                <w:sz w:val="20"/>
                <w:szCs w:val="20"/>
                <w:lang w:val="uk-UA"/>
              </w:rPr>
            </w:pPr>
            <w:r w:rsidRPr="00D0187A">
              <w:rPr>
                <w:sz w:val="20"/>
                <w:szCs w:val="20"/>
                <w:lang w:val="uk-UA"/>
              </w:rPr>
              <w:t>(522)</w:t>
            </w:r>
          </w:p>
        </w:tc>
      </w:tr>
      <w:tr w:rsidR="000F79B4" w:rsidRPr="00D0187A" w14:paraId="02A2F161" w14:textId="77777777" w:rsidTr="006051C0">
        <w:trPr>
          <w:trHeight w:hRule="exact" w:val="267"/>
        </w:trPr>
        <w:tc>
          <w:tcPr>
            <w:tcW w:w="5098" w:type="dxa"/>
            <w:hideMark/>
          </w:tcPr>
          <w:p w14:paraId="33A24167" w14:textId="77777777" w:rsidR="000F79B4" w:rsidRPr="008D1B3A" w:rsidRDefault="000F79B4" w:rsidP="000F79B4">
            <w:pPr>
              <w:shd w:val="clear" w:color="auto" w:fill="FFFFFF"/>
              <w:spacing w:line="240" w:lineRule="exact"/>
              <w:ind w:right="739"/>
              <w:rPr>
                <w:i/>
                <w:iCs/>
                <w:sz w:val="20"/>
                <w:szCs w:val="20"/>
                <w:u w:val="single"/>
                <w:lang w:val="uk-UA"/>
              </w:rPr>
            </w:pPr>
            <w:r w:rsidRPr="008D1B3A">
              <w:rPr>
                <w:b/>
                <w:bCs/>
                <w:i/>
                <w:iCs/>
                <w:sz w:val="20"/>
                <w:szCs w:val="20"/>
                <w:u w:val="single"/>
                <w:lang w:val="uk-UA"/>
              </w:rPr>
              <w:t>Разом, власний капітал</w:t>
            </w:r>
          </w:p>
        </w:tc>
        <w:tc>
          <w:tcPr>
            <w:tcW w:w="1134" w:type="dxa"/>
          </w:tcPr>
          <w:p w14:paraId="72B3DEFC" w14:textId="77777777" w:rsidR="000F79B4" w:rsidRPr="008D1B3A" w:rsidRDefault="000F79B4" w:rsidP="000F79B4">
            <w:pPr>
              <w:shd w:val="clear" w:color="auto" w:fill="FFFFFF"/>
              <w:rPr>
                <w:i/>
                <w:iCs/>
                <w:sz w:val="20"/>
                <w:szCs w:val="20"/>
                <w:u w:val="single"/>
                <w:lang w:val="uk-UA"/>
              </w:rPr>
            </w:pPr>
          </w:p>
        </w:tc>
        <w:tc>
          <w:tcPr>
            <w:tcW w:w="1701" w:type="dxa"/>
          </w:tcPr>
          <w:p w14:paraId="6E544017" w14:textId="6EC89D53" w:rsidR="000F79B4" w:rsidRPr="008D1B3A" w:rsidRDefault="00BD3595" w:rsidP="000F79B4">
            <w:pPr>
              <w:shd w:val="clear" w:color="auto" w:fill="FFFFFF"/>
              <w:ind w:left="-9"/>
              <w:jc w:val="center"/>
              <w:rPr>
                <w:b/>
                <w:i/>
                <w:iCs/>
                <w:sz w:val="20"/>
                <w:szCs w:val="20"/>
                <w:u w:val="single"/>
                <w:lang w:val="uk-UA"/>
              </w:rPr>
            </w:pPr>
            <w:r>
              <w:rPr>
                <w:b/>
                <w:i/>
                <w:iCs/>
                <w:sz w:val="20"/>
                <w:szCs w:val="20"/>
                <w:u w:val="single"/>
                <w:lang w:val="uk-UA"/>
              </w:rPr>
              <w:t>7 162</w:t>
            </w:r>
          </w:p>
        </w:tc>
        <w:tc>
          <w:tcPr>
            <w:tcW w:w="1843" w:type="dxa"/>
          </w:tcPr>
          <w:p w14:paraId="797E7031" w14:textId="5DB470B2" w:rsidR="000F79B4" w:rsidRPr="008D1B3A" w:rsidRDefault="000F79B4" w:rsidP="000F79B4">
            <w:pPr>
              <w:shd w:val="clear" w:color="auto" w:fill="FFFFFF"/>
              <w:ind w:left="-9"/>
              <w:jc w:val="center"/>
              <w:rPr>
                <w:b/>
                <w:i/>
                <w:iCs/>
                <w:sz w:val="20"/>
                <w:szCs w:val="20"/>
                <w:u w:val="single"/>
                <w:lang w:val="uk-UA"/>
              </w:rPr>
            </w:pPr>
            <w:r w:rsidRPr="008D1B3A">
              <w:rPr>
                <w:b/>
                <w:i/>
                <w:iCs/>
                <w:sz w:val="20"/>
                <w:szCs w:val="20"/>
                <w:u w:val="single"/>
                <w:lang w:val="uk-UA"/>
              </w:rPr>
              <w:t>6 978</w:t>
            </w:r>
          </w:p>
        </w:tc>
      </w:tr>
      <w:tr w:rsidR="000F79B4" w:rsidRPr="00D0187A" w14:paraId="07EC135A" w14:textId="77777777" w:rsidTr="006051C0">
        <w:trPr>
          <w:trHeight w:hRule="exact" w:val="250"/>
        </w:trPr>
        <w:tc>
          <w:tcPr>
            <w:tcW w:w="5098" w:type="dxa"/>
          </w:tcPr>
          <w:p w14:paraId="160E7EE8" w14:textId="0260E87C" w:rsidR="000F79B4" w:rsidRPr="008D1B3A" w:rsidRDefault="000F79B4" w:rsidP="000F79B4">
            <w:pPr>
              <w:shd w:val="clear" w:color="auto" w:fill="FFFFFF"/>
              <w:spacing w:line="240" w:lineRule="exact"/>
              <w:rPr>
                <w:b/>
                <w:bCs/>
                <w:i/>
                <w:iCs/>
                <w:color w:val="FF0000"/>
                <w:sz w:val="20"/>
                <w:szCs w:val="20"/>
                <w:lang w:val="uk-UA"/>
              </w:rPr>
            </w:pPr>
            <w:r w:rsidRPr="008D1B3A">
              <w:rPr>
                <w:b/>
                <w:bCs/>
                <w:i/>
                <w:iCs/>
                <w:sz w:val="20"/>
                <w:szCs w:val="20"/>
                <w:lang w:val="uk-UA"/>
              </w:rPr>
              <w:t>Поточна кредиторська заборгованість за</w:t>
            </w:r>
          </w:p>
        </w:tc>
        <w:tc>
          <w:tcPr>
            <w:tcW w:w="1134" w:type="dxa"/>
          </w:tcPr>
          <w:p w14:paraId="4527361D" w14:textId="6D1396BD" w:rsidR="000F79B4" w:rsidRPr="008D1B3A" w:rsidRDefault="000F79B4" w:rsidP="000F79B4">
            <w:pPr>
              <w:shd w:val="clear" w:color="auto" w:fill="FFFFFF"/>
              <w:jc w:val="center"/>
              <w:rPr>
                <w:b/>
                <w:bCs/>
                <w:i/>
                <w:iCs/>
                <w:sz w:val="20"/>
                <w:szCs w:val="20"/>
                <w:lang w:val="uk-UA"/>
              </w:rPr>
            </w:pPr>
            <w:r w:rsidRPr="008D1B3A">
              <w:rPr>
                <w:b/>
                <w:bCs/>
                <w:i/>
                <w:iCs/>
                <w:sz w:val="20"/>
                <w:szCs w:val="20"/>
                <w:lang w:val="uk-UA"/>
              </w:rPr>
              <w:t>6.9</w:t>
            </w:r>
          </w:p>
        </w:tc>
        <w:tc>
          <w:tcPr>
            <w:tcW w:w="1701" w:type="dxa"/>
          </w:tcPr>
          <w:p w14:paraId="6A9B382D" w14:textId="77777777" w:rsidR="000F79B4" w:rsidRPr="008D1B3A" w:rsidRDefault="000F79B4" w:rsidP="000F79B4">
            <w:pPr>
              <w:shd w:val="clear" w:color="auto" w:fill="FFFFFF"/>
              <w:ind w:left="-9"/>
              <w:rPr>
                <w:b/>
                <w:bCs/>
                <w:i/>
                <w:iCs/>
                <w:spacing w:val="-3"/>
                <w:sz w:val="20"/>
                <w:szCs w:val="20"/>
                <w:lang w:val="uk-UA"/>
              </w:rPr>
            </w:pPr>
          </w:p>
        </w:tc>
        <w:tc>
          <w:tcPr>
            <w:tcW w:w="1843" w:type="dxa"/>
          </w:tcPr>
          <w:p w14:paraId="0C53DA58" w14:textId="66E7EDD0" w:rsidR="000F79B4" w:rsidRPr="008D1B3A" w:rsidRDefault="000F79B4" w:rsidP="000F79B4">
            <w:pPr>
              <w:shd w:val="clear" w:color="auto" w:fill="FFFFFF"/>
              <w:ind w:left="-9"/>
              <w:rPr>
                <w:b/>
                <w:bCs/>
                <w:i/>
                <w:iCs/>
                <w:spacing w:val="-3"/>
                <w:sz w:val="20"/>
                <w:szCs w:val="20"/>
                <w:lang w:val="uk-UA"/>
              </w:rPr>
            </w:pPr>
          </w:p>
        </w:tc>
      </w:tr>
      <w:tr w:rsidR="000F79B4" w:rsidRPr="00D0187A" w14:paraId="650D9850" w14:textId="77777777" w:rsidTr="006051C0">
        <w:trPr>
          <w:trHeight w:hRule="exact" w:val="322"/>
        </w:trPr>
        <w:tc>
          <w:tcPr>
            <w:tcW w:w="5098" w:type="dxa"/>
          </w:tcPr>
          <w:p w14:paraId="5EA77B07" w14:textId="6B412F64" w:rsidR="000F79B4" w:rsidRPr="00D0187A" w:rsidRDefault="000F79B4" w:rsidP="000F79B4">
            <w:pPr>
              <w:pStyle w:val="a8"/>
              <w:numPr>
                <w:ilvl w:val="0"/>
                <w:numId w:val="5"/>
              </w:numPr>
              <w:shd w:val="clear" w:color="auto" w:fill="FFFFFF"/>
              <w:spacing w:line="240" w:lineRule="exact"/>
              <w:rPr>
                <w:rFonts w:ascii="Times New Roman" w:hAnsi="Times New Roman"/>
                <w:sz w:val="20"/>
                <w:szCs w:val="20"/>
                <w:lang w:val="uk-UA"/>
              </w:rPr>
            </w:pPr>
            <w:r>
              <w:rPr>
                <w:rFonts w:ascii="Times New Roman" w:hAnsi="Times New Roman"/>
                <w:sz w:val="20"/>
                <w:szCs w:val="20"/>
                <w:lang w:val="uk-UA"/>
              </w:rPr>
              <w:t>п</w:t>
            </w:r>
            <w:r w:rsidRPr="00D0187A">
              <w:rPr>
                <w:rFonts w:ascii="Times New Roman" w:hAnsi="Times New Roman"/>
                <w:sz w:val="20"/>
                <w:szCs w:val="20"/>
                <w:lang w:val="uk-UA"/>
              </w:rPr>
              <w:t>ослуги</w:t>
            </w:r>
          </w:p>
        </w:tc>
        <w:tc>
          <w:tcPr>
            <w:tcW w:w="1134" w:type="dxa"/>
          </w:tcPr>
          <w:p w14:paraId="5A27AA49" w14:textId="55F4C4E0" w:rsidR="000F79B4" w:rsidRPr="00D0187A" w:rsidRDefault="000F79B4" w:rsidP="000F79B4">
            <w:pPr>
              <w:shd w:val="clear" w:color="auto" w:fill="FFFFFF"/>
              <w:jc w:val="center"/>
              <w:rPr>
                <w:b/>
                <w:bCs/>
                <w:sz w:val="20"/>
                <w:szCs w:val="20"/>
                <w:lang w:val="uk-UA"/>
              </w:rPr>
            </w:pPr>
          </w:p>
        </w:tc>
        <w:tc>
          <w:tcPr>
            <w:tcW w:w="1701" w:type="dxa"/>
          </w:tcPr>
          <w:p w14:paraId="22B4F8B9" w14:textId="7E7FF6BC" w:rsidR="000F79B4" w:rsidRPr="00D0187A" w:rsidRDefault="00AA022F" w:rsidP="000F79B4">
            <w:pPr>
              <w:shd w:val="clear" w:color="auto" w:fill="FFFFFF"/>
              <w:ind w:left="-9"/>
              <w:jc w:val="center"/>
              <w:rPr>
                <w:spacing w:val="-3"/>
                <w:sz w:val="20"/>
                <w:szCs w:val="20"/>
                <w:lang w:val="uk-UA"/>
              </w:rPr>
            </w:pPr>
            <w:r>
              <w:rPr>
                <w:spacing w:val="-3"/>
                <w:sz w:val="20"/>
                <w:szCs w:val="20"/>
                <w:lang w:val="uk-UA"/>
              </w:rPr>
              <w:t>-</w:t>
            </w:r>
          </w:p>
        </w:tc>
        <w:tc>
          <w:tcPr>
            <w:tcW w:w="1843" w:type="dxa"/>
          </w:tcPr>
          <w:p w14:paraId="3EBC9E31" w14:textId="6C66115C" w:rsidR="000F79B4" w:rsidRPr="00D0187A" w:rsidRDefault="000F79B4" w:rsidP="000F79B4">
            <w:pPr>
              <w:shd w:val="clear" w:color="auto" w:fill="FFFFFF"/>
              <w:ind w:left="-9"/>
              <w:jc w:val="center"/>
              <w:rPr>
                <w:spacing w:val="-3"/>
                <w:sz w:val="20"/>
                <w:szCs w:val="20"/>
                <w:lang w:val="uk-UA"/>
              </w:rPr>
            </w:pPr>
            <w:r w:rsidRPr="00D0187A">
              <w:rPr>
                <w:spacing w:val="-3"/>
                <w:sz w:val="20"/>
                <w:szCs w:val="20"/>
                <w:lang w:val="uk-UA"/>
              </w:rPr>
              <w:t>132</w:t>
            </w:r>
          </w:p>
        </w:tc>
      </w:tr>
      <w:tr w:rsidR="000F79B4" w:rsidRPr="00D0187A" w14:paraId="6429B79D" w14:textId="77777777" w:rsidTr="006051C0">
        <w:trPr>
          <w:trHeight w:hRule="exact" w:val="322"/>
        </w:trPr>
        <w:tc>
          <w:tcPr>
            <w:tcW w:w="5098" w:type="dxa"/>
          </w:tcPr>
          <w:p w14:paraId="1987E906" w14:textId="2B6DF2E7" w:rsidR="000F79B4" w:rsidRPr="00D0187A" w:rsidRDefault="000F79B4" w:rsidP="000F79B4">
            <w:pPr>
              <w:pStyle w:val="a8"/>
              <w:numPr>
                <w:ilvl w:val="0"/>
                <w:numId w:val="5"/>
              </w:numPr>
              <w:shd w:val="clear" w:color="auto" w:fill="FFFFFF"/>
              <w:spacing w:line="240" w:lineRule="exact"/>
              <w:rPr>
                <w:rFonts w:ascii="Times New Roman" w:hAnsi="Times New Roman"/>
                <w:sz w:val="20"/>
                <w:szCs w:val="20"/>
                <w:lang w:val="uk-UA"/>
              </w:rPr>
            </w:pPr>
            <w:r w:rsidRPr="00D0187A">
              <w:rPr>
                <w:rFonts w:ascii="Times New Roman" w:hAnsi="Times New Roman"/>
                <w:sz w:val="20"/>
                <w:szCs w:val="20"/>
                <w:lang w:val="uk-UA"/>
              </w:rPr>
              <w:t>розрахунками з бюджетом</w:t>
            </w:r>
          </w:p>
        </w:tc>
        <w:tc>
          <w:tcPr>
            <w:tcW w:w="1134" w:type="dxa"/>
          </w:tcPr>
          <w:p w14:paraId="0E034A6C" w14:textId="4FB16B8B" w:rsidR="000F79B4" w:rsidRPr="00D0187A" w:rsidRDefault="000F79B4" w:rsidP="000F79B4">
            <w:pPr>
              <w:shd w:val="clear" w:color="auto" w:fill="FFFFFF"/>
              <w:jc w:val="center"/>
              <w:rPr>
                <w:b/>
                <w:bCs/>
                <w:sz w:val="20"/>
                <w:szCs w:val="20"/>
                <w:lang w:val="uk-UA"/>
              </w:rPr>
            </w:pPr>
          </w:p>
        </w:tc>
        <w:tc>
          <w:tcPr>
            <w:tcW w:w="1701" w:type="dxa"/>
          </w:tcPr>
          <w:p w14:paraId="262FE5DC" w14:textId="0E2995F8" w:rsidR="000F79B4" w:rsidRPr="00D0187A" w:rsidRDefault="00AA022F" w:rsidP="000F79B4">
            <w:pPr>
              <w:shd w:val="clear" w:color="auto" w:fill="FFFFFF"/>
              <w:ind w:left="-9"/>
              <w:jc w:val="center"/>
              <w:rPr>
                <w:spacing w:val="-3"/>
                <w:sz w:val="20"/>
                <w:szCs w:val="20"/>
                <w:lang w:val="uk-UA"/>
              </w:rPr>
            </w:pPr>
            <w:r>
              <w:rPr>
                <w:spacing w:val="-3"/>
                <w:sz w:val="20"/>
                <w:szCs w:val="20"/>
                <w:lang w:val="uk-UA"/>
              </w:rPr>
              <w:t>-</w:t>
            </w:r>
          </w:p>
        </w:tc>
        <w:tc>
          <w:tcPr>
            <w:tcW w:w="1843" w:type="dxa"/>
          </w:tcPr>
          <w:p w14:paraId="2F4AD066" w14:textId="74E23C4A" w:rsidR="000F79B4" w:rsidRPr="00D0187A" w:rsidRDefault="000F79B4" w:rsidP="000F79B4">
            <w:pPr>
              <w:shd w:val="clear" w:color="auto" w:fill="FFFFFF"/>
              <w:ind w:left="-9"/>
              <w:jc w:val="center"/>
              <w:rPr>
                <w:spacing w:val="-3"/>
                <w:sz w:val="20"/>
                <w:szCs w:val="20"/>
                <w:lang w:val="uk-UA"/>
              </w:rPr>
            </w:pPr>
            <w:r w:rsidRPr="00D0187A">
              <w:rPr>
                <w:spacing w:val="-3"/>
                <w:sz w:val="20"/>
                <w:szCs w:val="20"/>
                <w:lang w:val="uk-UA"/>
              </w:rPr>
              <w:t>2</w:t>
            </w:r>
          </w:p>
        </w:tc>
      </w:tr>
      <w:tr w:rsidR="000F79B4" w:rsidRPr="00D0187A" w14:paraId="04CD39C6" w14:textId="77777777" w:rsidTr="006051C0">
        <w:trPr>
          <w:trHeight w:hRule="exact" w:val="322"/>
        </w:trPr>
        <w:tc>
          <w:tcPr>
            <w:tcW w:w="5098" w:type="dxa"/>
            <w:hideMark/>
          </w:tcPr>
          <w:p w14:paraId="72DFEE6A" w14:textId="7128629E" w:rsidR="000F79B4" w:rsidRPr="00D0187A" w:rsidRDefault="000F79B4" w:rsidP="000F79B4">
            <w:pPr>
              <w:pStyle w:val="a8"/>
              <w:numPr>
                <w:ilvl w:val="0"/>
                <w:numId w:val="5"/>
              </w:numPr>
              <w:shd w:val="clear" w:color="auto" w:fill="FFFFFF"/>
              <w:spacing w:line="240" w:lineRule="exact"/>
              <w:rPr>
                <w:rFonts w:ascii="Times New Roman" w:hAnsi="Times New Roman"/>
                <w:sz w:val="20"/>
                <w:szCs w:val="20"/>
                <w:lang w:val="uk-UA"/>
              </w:rPr>
            </w:pPr>
            <w:r w:rsidRPr="00D0187A">
              <w:rPr>
                <w:rFonts w:ascii="Times New Roman" w:hAnsi="Times New Roman"/>
                <w:sz w:val="20"/>
                <w:szCs w:val="20"/>
                <w:lang w:val="uk-UA"/>
              </w:rPr>
              <w:t xml:space="preserve">розрахунками зі страхування </w:t>
            </w:r>
          </w:p>
        </w:tc>
        <w:tc>
          <w:tcPr>
            <w:tcW w:w="1134" w:type="dxa"/>
          </w:tcPr>
          <w:p w14:paraId="13CA5E1C" w14:textId="6477A336" w:rsidR="000F79B4" w:rsidRPr="00D0187A" w:rsidRDefault="000F79B4" w:rsidP="000F79B4">
            <w:pPr>
              <w:shd w:val="clear" w:color="auto" w:fill="FFFFFF"/>
              <w:jc w:val="center"/>
              <w:rPr>
                <w:b/>
                <w:bCs/>
                <w:sz w:val="20"/>
                <w:szCs w:val="20"/>
                <w:lang w:val="uk-UA"/>
              </w:rPr>
            </w:pPr>
          </w:p>
        </w:tc>
        <w:tc>
          <w:tcPr>
            <w:tcW w:w="1701" w:type="dxa"/>
          </w:tcPr>
          <w:p w14:paraId="04C9AE64" w14:textId="6C6B0576" w:rsidR="000F79B4" w:rsidRPr="00D0187A" w:rsidRDefault="00AA022F" w:rsidP="000F79B4">
            <w:pPr>
              <w:shd w:val="clear" w:color="auto" w:fill="FFFFFF"/>
              <w:ind w:left="-9"/>
              <w:jc w:val="center"/>
              <w:rPr>
                <w:spacing w:val="-3"/>
                <w:sz w:val="20"/>
                <w:szCs w:val="20"/>
                <w:lang w:val="uk-UA"/>
              </w:rPr>
            </w:pPr>
            <w:r>
              <w:rPr>
                <w:spacing w:val="-3"/>
                <w:sz w:val="20"/>
                <w:szCs w:val="20"/>
                <w:lang w:val="uk-UA"/>
              </w:rPr>
              <w:t>-</w:t>
            </w:r>
          </w:p>
        </w:tc>
        <w:tc>
          <w:tcPr>
            <w:tcW w:w="1843" w:type="dxa"/>
          </w:tcPr>
          <w:p w14:paraId="5589068D" w14:textId="2BAF7289" w:rsidR="000F79B4" w:rsidRPr="00D0187A" w:rsidRDefault="000F79B4" w:rsidP="000F79B4">
            <w:pPr>
              <w:shd w:val="clear" w:color="auto" w:fill="FFFFFF"/>
              <w:ind w:left="-9"/>
              <w:jc w:val="center"/>
              <w:rPr>
                <w:spacing w:val="-3"/>
                <w:sz w:val="20"/>
                <w:szCs w:val="20"/>
                <w:lang w:val="uk-UA"/>
              </w:rPr>
            </w:pPr>
            <w:r w:rsidRPr="00D0187A">
              <w:rPr>
                <w:spacing w:val="-3"/>
                <w:sz w:val="20"/>
                <w:szCs w:val="20"/>
                <w:lang w:val="uk-UA"/>
              </w:rPr>
              <w:t>3</w:t>
            </w:r>
          </w:p>
        </w:tc>
      </w:tr>
      <w:tr w:rsidR="000F79B4" w:rsidRPr="00D0187A" w14:paraId="1E293E0E" w14:textId="77777777" w:rsidTr="006051C0">
        <w:trPr>
          <w:trHeight w:hRule="exact" w:val="322"/>
        </w:trPr>
        <w:tc>
          <w:tcPr>
            <w:tcW w:w="5098" w:type="dxa"/>
          </w:tcPr>
          <w:p w14:paraId="04C1285B" w14:textId="12A2256C" w:rsidR="000F79B4" w:rsidRPr="00D0187A" w:rsidRDefault="000F79B4" w:rsidP="000F79B4">
            <w:pPr>
              <w:pStyle w:val="a8"/>
              <w:numPr>
                <w:ilvl w:val="0"/>
                <w:numId w:val="5"/>
              </w:numPr>
              <w:shd w:val="clear" w:color="auto" w:fill="FFFFFF"/>
              <w:spacing w:line="240" w:lineRule="exact"/>
              <w:rPr>
                <w:rFonts w:ascii="Times New Roman" w:hAnsi="Times New Roman"/>
                <w:sz w:val="20"/>
                <w:szCs w:val="20"/>
                <w:lang w:val="uk-UA"/>
              </w:rPr>
            </w:pPr>
            <w:r w:rsidRPr="00D0187A">
              <w:rPr>
                <w:rFonts w:ascii="Times New Roman" w:hAnsi="Times New Roman"/>
                <w:sz w:val="20"/>
                <w:szCs w:val="20"/>
                <w:lang w:val="uk-UA"/>
              </w:rPr>
              <w:t>розрахунками з оплати праці</w:t>
            </w:r>
          </w:p>
        </w:tc>
        <w:tc>
          <w:tcPr>
            <w:tcW w:w="1134" w:type="dxa"/>
          </w:tcPr>
          <w:p w14:paraId="0135E0DC" w14:textId="5CBD4826" w:rsidR="000F79B4" w:rsidRPr="00D0187A" w:rsidRDefault="000F79B4" w:rsidP="000F79B4">
            <w:pPr>
              <w:shd w:val="clear" w:color="auto" w:fill="FFFFFF"/>
              <w:jc w:val="center"/>
              <w:rPr>
                <w:b/>
                <w:bCs/>
                <w:sz w:val="20"/>
                <w:szCs w:val="20"/>
                <w:lang w:val="uk-UA"/>
              </w:rPr>
            </w:pPr>
          </w:p>
        </w:tc>
        <w:tc>
          <w:tcPr>
            <w:tcW w:w="1701" w:type="dxa"/>
          </w:tcPr>
          <w:p w14:paraId="02773327" w14:textId="60BD6CD0" w:rsidR="000F79B4" w:rsidRPr="00D0187A" w:rsidRDefault="00AA022F" w:rsidP="000F79B4">
            <w:pPr>
              <w:shd w:val="clear" w:color="auto" w:fill="FFFFFF"/>
              <w:ind w:left="-9"/>
              <w:jc w:val="center"/>
              <w:rPr>
                <w:spacing w:val="-3"/>
                <w:sz w:val="20"/>
                <w:szCs w:val="20"/>
                <w:lang w:val="uk-UA"/>
              </w:rPr>
            </w:pPr>
            <w:r>
              <w:rPr>
                <w:spacing w:val="-3"/>
                <w:sz w:val="20"/>
                <w:szCs w:val="20"/>
                <w:lang w:val="uk-UA"/>
              </w:rPr>
              <w:t>-</w:t>
            </w:r>
          </w:p>
        </w:tc>
        <w:tc>
          <w:tcPr>
            <w:tcW w:w="1843" w:type="dxa"/>
          </w:tcPr>
          <w:p w14:paraId="0B001B70" w14:textId="3081E692" w:rsidR="000F79B4" w:rsidRPr="00D0187A" w:rsidRDefault="000F79B4" w:rsidP="000F79B4">
            <w:pPr>
              <w:shd w:val="clear" w:color="auto" w:fill="FFFFFF"/>
              <w:ind w:left="-9"/>
              <w:jc w:val="center"/>
              <w:rPr>
                <w:spacing w:val="-3"/>
                <w:sz w:val="20"/>
                <w:szCs w:val="20"/>
                <w:lang w:val="uk-UA"/>
              </w:rPr>
            </w:pPr>
            <w:r w:rsidRPr="00D0187A">
              <w:rPr>
                <w:spacing w:val="-3"/>
                <w:sz w:val="20"/>
                <w:szCs w:val="20"/>
                <w:lang w:val="uk-UA"/>
              </w:rPr>
              <w:t>10</w:t>
            </w:r>
          </w:p>
        </w:tc>
      </w:tr>
      <w:tr w:rsidR="000F79B4" w:rsidRPr="00D0187A" w14:paraId="0773E00D" w14:textId="77777777" w:rsidTr="006051C0">
        <w:trPr>
          <w:trHeight w:hRule="exact" w:val="312"/>
        </w:trPr>
        <w:tc>
          <w:tcPr>
            <w:tcW w:w="5098" w:type="dxa"/>
            <w:hideMark/>
          </w:tcPr>
          <w:p w14:paraId="502E1FA5" w14:textId="77777777" w:rsidR="000F79B4" w:rsidRPr="008D1B3A" w:rsidRDefault="000F79B4" w:rsidP="000F79B4">
            <w:pPr>
              <w:shd w:val="clear" w:color="auto" w:fill="FFFFFF"/>
              <w:rPr>
                <w:b/>
                <w:i/>
                <w:iCs/>
                <w:sz w:val="20"/>
                <w:szCs w:val="20"/>
                <w:lang w:val="uk-UA"/>
              </w:rPr>
            </w:pPr>
            <w:r w:rsidRPr="008D1B3A">
              <w:rPr>
                <w:b/>
                <w:i/>
                <w:iCs/>
                <w:sz w:val="20"/>
                <w:szCs w:val="20"/>
                <w:lang w:val="uk-UA"/>
              </w:rPr>
              <w:t>Поточні забезпечення</w:t>
            </w:r>
          </w:p>
        </w:tc>
        <w:tc>
          <w:tcPr>
            <w:tcW w:w="1134" w:type="dxa"/>
          </w:tcPr>
          <w:p w14:paraId="1480D80F" w14:textId="32B3B92B" w:rsidR="000F79B4" w:rsidRPr="008D1B3A" w:rsidRDefault="000F79B4" w:rsidP="000F79B4">
            <w:pPr>
              <w:shd w:val="clear" w:color="auto" w:fill="FFFFFF"/>
              <w:jc w:val="center"/>
              <w:rPr>
                <w:b/>
                <w:bCs/>
                <w:i/>
                <w:iCs/>
                <w:sz w:val="20"/>
                <w:szCs w:val="20"/>
                <w:lang w:val="uk-UA"/>
              </w:rPr>
            </w:pPr>
            <w:r w:rsidRPr="008D1B3A">
              <w:rPr>
                <w:b/>
                <w:bCs/>
                <w:i/>
                <w:iCs/>
                <w:sz w:val="20"/>
                <w:szCs w:val="20"/>
                <w:lang w:val="uk-UA"/>
              </w:rPr>
              <w:t>6.10</w:t>
            </w:r>
          </w:p>
        </w:tc>
        <w:tc>
          <w:tcPr>
            <w:tcW w:w="1701" w:type="dxa"/>
          </w:tcPr>
          <w:p w14:paraId="47E7D4AD" w14:textId="5E044599" w:rsidR="000F79B4" w:rsidRPr="008D1B3A" w:rsidRDefault="00AA022F" w:rsidP="000F79B4">
            <w:pPr>
              <w:shd w:val="clear" w:color="auto" w:fill="FFFFFF"/>
              <w:ind w:left="-9"/>
              <w:jc w:val="center"/>
              <w:rPr>
                <w:b/>
                <w:bCs/>
                <w:i/>
                <w:iCs/>
                <w:sz w:val="20"/>
                <w:szCs w:val="20"/>
                <w:lang w:val="uk-UA"/>
              </w:rPr>
            </w:pPr>
            <w:r>
              <w:rPr>
                <w:b/>
                <w:bCs/>
                <w:i/>
                <w:iCs/>
                <w:sz w:val="20"/>
                <w:szCs w:val="20"/>
                <w:lang w:val="uk-UA"/>
              </w:rPr>
              <w:t>7</w:t>
            </w:r>
          </w:p>
        </w:tc>
        <w:tc>
          <w:tcPr>
            <w:tcW w:w="1843" w:type="dxa"/>
          </w:tcPr>
          <w:p w14:paraId="2DED6622" w14:textId="7471AC31" w:rsidR="000F79B4" w:rsidRPr="008D1B3A" w:rsidRDefault="000F79B4" w:rsidP="000F79B4">
            <w:pPr>
              <w:shd w:val="clear" w:color="auto" w:fill="FFFFFF"/>
              <w:ind w:left="-9"/>
              <w:jc w:val="center"/>
              <w:rPr>
                <w:b/>
                <w:bCs/>
                <w:i/>
                <w:iCs/>
                <w:sz w:val="20"/>
                <w:szCs w:val="20"/>
                <w:lang w:val="uk-UA"/>
              </w:rPr>
            </w:pPr>
            <w:r w:rsidRPr="008D1B3A">
              <w:rPr>
                <w:b/>
                <w:bCs/>
                <w:i/>
                <w:iCs/>
                <w:sz w:val="20"/>
                <w:szCs w:val="20"/>
                <w:lang w:val="uk-UA"/>
              </w:rPr>
              <w:t>13</w:t>
            </w:r>
          </w:p>
        </w:tc>
      </w:tr>
      <w:tr w:rsidR="000F79B4" w:rsidRPr="00D0187A" w14:paraId="1D4EA45C" w14:textId="77777777" w:rsidTr="006051C0">
        <w:trPr>
          <w:trHeight w:val="231"/>
        </w:trPr>
        <w:tc>
          <w:tcPr>
            <w:tcW w:w="5098" w:type="dxa"/>
            <w:shd w:val="clear" w:color="auto" w:fill="auto"/>
          </w:tcPr>
          <w:p w14:paraId="3D27741F" w14:textId="54624CFD" w:rsidR="000F79B4" w:rsidRPr="008D1B3A" w:rsidRDefault="000F79B4" w:rsidP="000F79B4">
            <w:pPr>
              <w:shd w:val="clear" w:color="auto" w:fill="FFFFFF"/>
              <w:rPr>
                <w:b/>
                <w:bCs/>
                <w:i/>
                <w:iCs/>
                <w:spacing w:val="-4"/>
                <w:sz w:val="20"/>
                <w:szCs w:val="20"/>
                <w:u w:val="single"/>
                <w:lang w:val="uk-UA"/>
              </w:rPr>
            </w:pPr>
            <w:r w:rsidRPr="008D1B3A">
              <w:rPr>
                <w:b/>
                <w:bCs/>
                <w:i/>
                <w:iCs/>
                <w:spacing w:val="-4"/>
                <w:sz w:val="20"/>
                <w:szCs w:val="20"/>
                <w:u w:val="single"/>
                <w:lang w:val="uk-UA"/>
              </w:rPr>
              <w:t>Інші поточні зобов'язання</w:t>
            </w:r>
          </w:p>
        </w:tc>
        <w:tc>
          <w:tcPr>
            <w:tcW w:w="1134" w:type="dxa"/>
            <w:shd w:val="clear" w:color="auto" w:fill="auto"/>
          </w:tcPr>
          <w:p w14:paraId="2D9EAF64" w14:textId="77777777" w:rsidR="000F79B4" w:rsidRPr="008D1B3A" w:rsidRDefault="000F79B4" w:rsidP="000F79B4">
            <w:pPr>
              <w:shd w:val="clear" w:color="auto" w:fill="FFFFFF"/>
              <w:rPr>
                <w:b/>
                <w:i/>
                <w:iCs/>
                <w:sz w:val="20"/>
                <w:szCs w:val="20"/>
                <w:u w:val="single"/>
                <w:lang w:val="uk-UA"/>
              </w:rPr>
            </w:pPr>
          </w:p>
        </w:tc>
        <w:tc>
          <w:tcPr>
            <w:tcW w:w="1701" w:type="dxa"/>
          </w:tcPr>
          <w:p w14:paraId="6F2C5CD5" w14:textId="77777777" w:rsidR="000F79B4" w:rsidRPr="008D1B3A" w:rsidRDefault="000F79B4" w:rsidP="000F79B4">
            <w:pPr>
              <w:shd w:val="clear" w:color="auto" w:fill="FFFFFF"/>
              <w:ind w:left="-9"/>
              <w:jc w:val="center"/>
              <w:rPr>
                <w:b/>
                <w:i/>
                <w:iCs/>
                <w:sz w:val="20"/>
                <w:szCs w:val="20"/>
                <w:u w:val="single"/>
                <w:lang w:val="uk-UA"/>
              </w:rPr>
            </w:pPr>
          </w:p>
        </w:tc>
        <w:tc>
          <w:tcPr>
            <w:tcW w:w="1843" w:type="dxa"/>
            <w:shd w:val="clear" w:color="auto" w:fill="auto"/>
          </w:tcPr>
          <w:p w14:paraId="3BBB58E9" w14:textId="41D6F972" w:rsidR="000F79B4" w:rsidRPr="008D1B3A" w:rsidRDefault="000F79B4" w:rsidP="000F79B4">
            <w:pPr>
              <w:shd w:val="clear" w:color="auto" w:fill="FFFFFF"/>
              <w:ind w:left="-9"/>
              <w:jc w:val="center"/>
              <w:rPr>
                <w:b/>
                <w:i/>
                <w:iCs/>
                <w:sz w:val="20"/>
                <w:szCs w:val="20"/>
                <w:u w:val="single"/>
                <w:lang w:val="uk-UA"/>
              </w:rPr>
            </w:pPr>
            <w:r w:rsidRPr="008D1B3A">
              <w:rPr>
                <w:b/>
                <w:i/>
                <w:iCs/>
                <w:sz w:val="20"/>
                <w:szCs w:val="20"/>
                <w:u w:val="single"/>
                <w:lang w:val="uk-UA"/>
              </w:rPr>
              <w:t>50</w:t>
            </w:r>
          </w:p>
        </w:tc>
      </w:tr>
      <w:tr w:rsidR="000F79B4" w:rsidRPr="00D0187A" w14:paraId="7D334466" w14:textId="77777777" w:rsidTr="006051C0">
        <w:trPr>
          <w:trHeight w:val="231"/>
        </w:trPr>
        <w:tc>
          <w:tcPr>
            <w:tcW w:w="5098" w:type="dxa"/>
            <w:shd w:val="clear" w:color="auto" w:fill="auto"/>
          </w:tcPr>
          <w:p w14:paraId="036700F5" w14:textId="3A2AE05C" w:rsidR="000F79B4" w:rsidRPr="008D1B3A" w:rsidRDefault="000F79B4" w:rsidP="000F79B4">
            <w:pPr>
              <w:shd w:val="clear" w:color="auto" w:fill="FFFFFF"/>
              <w:rPr>
                <w:b/>
                <w:i/>
                <w:iCs/>
                <w:sz w:val="20"/>
                <w:szCs w:val="20"/>
                <w:u w:val="single"/>
                <w:lang w:val="uk-UA"/>
              </w:rPr>
            </w:pPr>
            <w:r w:rsidRPr="008D1B3A">
              <w:rPr>
                <w:b/>
                <w:bCs/>
                <w:i/>
                <w:iCs/>
                <w:spacing w:val="-4"/>
                <w:sz w:val="20"/>
                <w:szCs w:val="20"/>
                <w:u w:val="single"/>
                <w:lang w:val="uk-UA"/>
              </w:rPr>
              <w:t xml:space="preserve">Усього, </w:t>
            </w:r>
            <w:r w:rsidR="00C76D4B">
              <w:rPr>
                <w:b/>
                <w:bCs/>
                <w:i/>
                <w:iCs/>
                <w:spacing w:val="-4"/>
                <w:sz w:val="20"/>
                <w:szCs w:val="20"/>
                <w:u w:val="single"/>
                <w:lang w:val="uk-UA"/>
              </w:rPr>
              <w:t>пасивів</w:t>
            </w:r>
          </w:p>
        </w:tc>
        <w:tc>
          <w:tcPr>
            <w:tcW w:w="1134" w:type="dxa"/>
            <w:shd w:val="clear" w:color="auto" w:fill="auto"/>
          </w:tcPr>
          <w:p w14:paraId="219C6D41" w14:textId="77777777" w:rsidR="000F79B4" w:rsidRPr="008D1B3A" w:rsidRDefault="000F79B4" w:rsidP="000F79B4">
            <w:pPr>
              <w:shd w:val="clear" w:color="auto" w:fill="FFFFFF"/>
              <w:rPr>
                <w:b/>
                <w:i/>
                <w:iCs/>
                <w:sz w:val="20"/>
                <w:szCs w:val="20"/>
                <w:u w:val="single"/>
                <w:lang w:val="uk-UA"/>
              </w:rPr>
            </w:pPr>
          </w:p>
        </w:tc>
        <w:tc>
          <w:tcPr>
            <w:tcW w:w="1701" w:type="dxa"/>
          </w:tcPr>
          <w:p w14:paraId="5E9B6F1F" w14:textId="4EDEFE7B" w:rsidR="000F79B4" w:rsidRPr="008D1B3A" w:rsidRDefault="00AA022F" w:rsidP="000F79B4">
            <w:pPr>
              <w:shd w:val="clear" w:color="auto" w:fill="FFFFFF"/>
              <w:ind w:left="-9"/>
              <w:jc w:val="center"/>
              <w:rPr>
                <w:b/>
                <w:i/>
                <w:iCs/>
                <w:sz w:val="20"/>
                <w:szCs w:val="20"/>
                <w:u w:val="single"/>
                <w:lang w:val="uk-UA"/>
              </w:rPr>
            </w:pPr>
            <w:r>
              <w:rPr>
                <w:b/>
                <w:i/>
                <w:iCs/>
                <w:sz w:val="20"/>
                <w:szCs w:val="20"/>
                <w:u w:val="single"/>
                <w:lang w:val="uk-UA"/>
              </w:rPr>
              <w:t>7 169</w:t>
            </w:r>
          </w:p>
        </w:tc>
        <w:tc>
          <w:tcPr>
            <w:tcW w:w="1843" w:type="dxa"/>
            <w:shd w:val="clear" w:color="auto" w:fill="auto"/>
          </w:tcPr>
          <w:p w14:paraId="09181D93" w14:textId="46713D15" w:rsidR="000F79B4" w:rsidRPr="008D1B3A" w:rsidRDefault="00C800C4" w:rsidP="000F79B4">
            <w:pPr>
              <w:shd w:val="clear" w:color="auto" w:fill="FFFFFF"/>
              <w:ind w:left="-9"/>
              <w:jc w:val="center"/>
              <w:rPr>
                <w:b/>
                <w:i/>
                <w:iCs/>
                <w:sz w:val="20"/>
                <w:szCs w:val="20"/>
                <w:u w:val="single"/>
                <w:lang w:val="uk-UA"/>
              </w:rPr>
            </w:pPr>
            <w:r>
              <w:rPr>
                <w:b/>
                <w:i/>
                <w:iCs/>
                <w:sz w:val="20"/>
                <w:szCs w:val="20"/>
                <w:u w:val="single"/>
                <w:lang w:val="uk-UA"/>
              </w:rPr>
              <w:t>7 188</w:t>
            </w:r>
          </w:p>
        </w:tc>
      </w:tr>
    </w:tbl>
    <w:p w14:paraId="32D3FF82" w14:textId="65C7205B" w:rsidR="001F07B6" w:rsidRPr="000E05A8" w:rsidRDefault="001F07B6" w:rsidP="001F07B6">
      <w:pPr>
        <w:rPr>
          <w:i/>
          <w:sz w:val="22"/>
          <w:szCs w:val="22"/>
          <w:lang w:val="uk-UA"/>
        </w:rPr>
      </w:pPr>
      <w:r w:rsidRPr="000E05A8">
        <w:rPr>
          <w:i/>
          <w:sz w:val="22"/>
          <w:szCs w:val="22"/>
          <w:lang w:val="uk-UA"/>
        </w:rPr>
        <w:t xml:space="preserve">Затверджено до випуску та підписано </w:t>
      </w:r>
      <w:r w:rsidR="009D4EF9" w:rsidRPr="000E05A8">
        <w:rPr>
          <w:i/>
          <w:sz w:val="22"/>
          <w:szCs w:val="22"/>
          <w:lang w:val="uk-UA"/>
        </w:rPr>
        <w:t>“05» квітня 2021 р.</w:t>
      </w:r>
    </w:p>
    <w:p w14:paraId="6CB2E42A" w14:textId="77777777" w:rsidR="001F07B6" w:rsidRPr="000E05A8" w:rsidRDefault="001F07B6" w:rsidP="00A46121">
      <w:pPr>
        <w:rPr>
          <w:b/>
          <w:sz w:val="22"/>
          <w:szCs w:val="22"/>
          <w:highlight w:val="yellow"/>
          <w:lang w:val="uk-UA"/>
        </w:rPr>
      </w:pPr>
    </w:p>
    <w:p w14:paraId="6B7267BA" w14:textId="75D32360" w:rsidR="00A46121" w:rsidRPr="000E05A8" w:rsidRDefault="00A46121" w:rsidP="00A46121">
      <w:pPr>
        <w:rPr>
          <w:b/>
          <w:sz w:val="22"/>
          <w:szCs w:val="22"/>
          <w:lang w:val="uk-UA"/>
        </w:rPr>
      </w:pPr>
      <w:r w:rsidRPr="000E05A8">
        <w:rPr>
          <w:b/>
          <w:sz w:val="22"/>
          <w:szCs w:val="22"/>
          <w:lang w:val="uk-UA"/>
        </w:rPr>
        <w:t xml:space="preserve">Звіт про власний капітал </w:t>
      </w:r>
      <w:r w:rsidR="00D161DA" w:rsidRPr="000E05A8">
        <w:rPr>
          <w:b/>
          <w:sz w:val="22"/>
          <w:szCs w:val="22"/>
          <w:lang w:val="uk-UA"/>
        </w:rPr>
        <w:t>за період</w:t>
      </w:r>
      <w:r w:rsidR="00D866B0" w:rsidRPr="000E05A8">
        <w:rPr>
          <w:b/>
          <w:sz w:val="22"/>
          <w:szCs w:val="22"/>
          <w:lang w:val="uk-UA"/>
        </w:rPr>
        <w:t xml:space="preserve"> з </w:t>
      </w:r>
      <w:r w:rsidR="002628FB" w:rsidRPr="000E05A8">
        <w:rPr>
          <w:b/>
          <w:sz w:val="22"/>
          <w:szCs w:val="22"/>
          <w:lang w:val="uk-UA"/>
        </w:rPr>
        <w:t>01 січня 2021 року</w:t>
      </w:r>
      <w:r w:rsidR="00980979" w:rsidRPr="000E05A8">
        <w:rPr>
          <w:b/>
          <w:sz w:val="22"/>
          <w:szCs w:val="22"/>
          <w:lang w:val="uk-UA"/>
        </w:rPr>
        <w:t xml:space="preserve"> </w:t>
      </w:r>
      <w:r w:rsidR="00D866B0" w:rsidRPr="000E05A8">
        <w:rPr>
          <w:b/>
          <w:sz w:val="22"/>
          <w:szCs w:val="22"/>
          <w:lang w:val="uk-UA"/>
        </w:rPr>
        <w:t>по</w:t>
      </w:r>
      <w:r w:rsidR="00D161DA" w:rsidRPr="000E05A8">
        <w:rPr>
          <w:b/>
          <w:sz w:val="22"/>
          <w:szCs w:val="22"/>
          <w:lang w:val="uk-UA"/>
        </w:rPr>
        <w:t xml:space="preserve"> </w:t>
      </w:r>
      <w:r w:rsidR="00980979" w:rsidRPr="000E05A8">
        <w:rPr>
          <w:b/>
          <w:sz w:val="22"/>
          <w:szCs w:val="22"/>
          <w:lang w:val="uk-UA"/>
        </w:rPr>
        <w:t>31 березня 2021</w:t>
      </w:r>
      <w:r w:rsidR="00FA7519" w:rsidRPr="000E05A8">
        <w:rPr>
          <w:b/>
          <w:sz w:val="22"/>
          <w:szCs w:val="22"/>
          <w:lang w:val="uk-UA"/>
        </w:rPr>
        <w:t xml:space="preserve"> року</w:t>
      </w:r>
    </w:p>
    <w:p w14:paraId="34405D1C" w14:textId="77777777" w:rsidR="001551F3" w:rsidRPr="000E05A8" w:rsidRDefault="001551F3" w:rsidP="001551F3">
      <w:pPr>
        <w:jc w:val="right"/>
        <w:rPr>
          <w:sz w:val="22"/>
          <w:szCs w:val="22"/>
          <w:lang w:val="uk-UA"/>
        </w:rPr>
      </w:pPr>
      <w:r w:rsidRPr="000E05A8">
        <w:rPr>
          <w:sz w:val="22"/>
          <w:szCs w:val="22"/>
          <w:lang w:val="uk-UA"/>
        </w:rPr>
        <w:t>(тис.грн.)</w:t>
      </w:r>
    </w:p>
    <w:tbl>
      <w:tblPr>
        <w:tblW w:w="9875" w:type="dxa"/>
        <w:tblInd w:w="40" w:type="dxa"/>
        <w:tblLayout w:type="fixed"/>
        <w:tblCellMar>
          <w:left w:w="40" w:type="dxa"/>
          <w:right w:w="40" w:type="dxa"/>
        </w:tblCellMar>
        <w:tblLook w:val="04A0" w:firstRow="1" w:lastRow="0" w:firstColumn="1" w:lastColumn="0" w:noHBand="0" w:noVBand="1"/>
      </w:tblPr>
      <w:tblGrid>
        <w:gridCol w:w="3638"/>
        <w:gridCol w:w="1843"/>
        <w:gridCol w:w="1701"/>
        <w:gridCol w:w="1559"/>
        <w:gridCol w:w="1134"/>
      </w:tblGrid>
      <w:tr w:rsidR="00827C5E" w:rsidRPr="00261930" w14:paraId="3771691D" w14:textId="77777777" w:rsidTr="001551F3">
        <w:trPr>
          <w:trHeight w:hRule="exact" w:val="614"/>
        </w:trPr>
        <w:tc>
          <w:tcPr>
            <w:tcW w:w="3638" w:type="dxa"/>
            <w:tcBorders>
              <w:top w:val="single" w:sz="6" w:space="0" w:color="auto"/>
              <w:left w:val="single" w:sz="6" w:space="0" w:color="auto"/>
              <w:bottom w:val="single" w:sz="6" w:space="0" w:color="auto"/>
              <w:right w:val="single" w:sz="6" w:space="0" w:color="auto"/>
            </w:tcBorders>
            <w:shd w:val="clear" w:color="auto" w:fill="FFFFFF"/>
            <w:hideMark/>
          </w:tcPr>
          <w:p w14:paraId="2775EE83" w14:textId="77777777" w:rsidR="00827C5E" w:rsidRPr="00261930" w:rsidRDefault="00827C5E" w:rsidP="006E6984">
            <w:pPr>
              <w:shd w:val="clear" w:color="auto" w:fill="FFFFFF"/>
              <w:ind w:left="782"/>
              <w:rPr>
                <w:sz w:val="20"/>
                <w:szCs w:val="20"/>
                <w:lang w:val="uk-UA"/>
              </w:rPr>
            </w:pPr>
            <w:r w:rsidRPr="00261930">
              <w:rPr>
                <w:sz w:val="20"/>
                <w:szCs w:val="20"/>
                <w:lang w:val="uk-UA"/>
              </w:rPr>
              <w:t>Статті</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724BE1FE" w14:textId="4A768E45" w:rsidR="00827C5E" w:rsidRPr="00261930" w:rsidRDefault="00827C5E" w:rsidP="006E6984">
            <w:pPr>
              <w:shd w:val="clear" w:color="auto" w:fill="FFFFFF"/>
              <w:spacing w:line="283" w:lineRule="exact"/>
              <w:ind w:left="-40" w:right="96" w:firstLine="142"/>
              <w:jc w:val="center"/>
              <w:rPr>
                <w:sz w:val="20"/>
                <w:szCs w:val="20"/>
                <w:lang w:val="uk-UA"/>
              </w:rPr>
            </w:pPr>
            <w:r w:rsidRPr="00261930">
              <w:rPr>
                <w:sz w:val="20"/>
                <w:szCs w:val="20"/>
                <w:lang w:val="uk-UA"/>
              </w:rPr>
              <w:t>Зареєстрований кап</w:t>
            </w:r>
            <w:r w:rsidR="00665F88" w:rsidRPr="00261930">
              <w:rPr>
                <w:sz w:val="20"/>
                <w:szCs w:val="20"/>
                <w:lang w:val="uk-UA"/>
              </w:rPr>
              <w:t>італ</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734EBD9" w14:textId="0690F8EE" w:rsidR="00827C5E" w:rsidRPr="00261930" w:rsidRDefault="00827C5E" w:rsidP="006E6984">
            <w:pPr>
              <w:shd w:val="clear" w:color="auto" w:fill="FFFFFF"/>
              <w:spacing w:line="288" w:lineRule="exact"/>
              <w:jc w:val="center"/>
              <w:rPr>
                <w:spacing w:val="-2"/>
                <w:sz w:val="20"/>
                <w:szCs w:val="20"/>
                <w:lang w:val="uk-UA"/>
              </w:rPr>
            </w:pPr>
            <w:r w:rsidRPr="00261930">
              <w:rPr>
                <w:spacing w:val="-2"/>
                <w:sz w:val="20"/>
                <w:szCs w:val="20"/>
                <w:lang w:val="uk-UA"/>
              </w:rPr>
              <w:t>Нерозподілений прибуток</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648858FA" w14:textId="1B5FE0E9" w:rsidR="00827C5E" w:rsidRPr="00261930" w:rsidRDefault="00827C5E" w:rsidP="006E6984">
            <w:pPr>
              <w:shd w:val="clear" w:color="auto" w:fill="FFFFFF"/>
              <w:spacing w:line="288" w:lineRule="exact"/>
              <w:ind w:left="-36" w:right="82"/>
              <w:jc w:val="center"/>
              <w:rPr>
                <w:spacing w:val="-2"/>
                <w:sz w:val="20"/>
                <w:szCs w:val="20"/>
                <w:lang w:val="uk-UA"/>
              </w:rPr>
            </w:pPr>
            <w:r w:rsidRPr="00261930">
              <w:rPr>
                <w:spacing w:val="-2"/>
                <w:sz w:val="20"/>
                <w:szCs w:val="20"/>
                <w:lang w:val="uk-UA"/>
              </w:rPr>
              <w:t>Неоплачений капітал</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5DCA5D7D" w14:textId="77777777" w:rsidR="00827C5E" w:rsidRPr="00261930" w:rsidRDefault="00827C5E" w:rsidP="006E6984">
            <w:pPr>
              <w:shd w:val="clear" w:color="auto" w:fill="FFFFFF"/>
              <w:jc w:val="center"/>
              <w:rPr>
                <w:spacing w:val="-2"/>
                <w:sz w:val="20"/>
                <w:szCs w:val="20"/>
                <w:lang w:val="uk-UA"/>
              </w:rPr>
            </w:pPr>
            <w:r w:rsidRPr="00261930">
              <w:rPr>
                <w:spacing w:val="-2"/>
                <w:sz w:val="20"/>
                <w:szCs w:val="20"/>
                <w:lang w:val="uk-UA"/>
              </w:rPr>
              <w:t>Всього</w:t>
            </w:r>
          </w:p>
        </w:tc>
      </w:tr>
      <w:tr w:rsidR="00827C5E" w:rsidRPr="00261930" w14:paraId="46339A81" w14:textId="77777777" w:rsidTr="001551F3">
        <w:trPr>
          <w:trHeight w:val="241"/>
        </w:trPr>
        <w:tc>
          <w:tcPr>
            <w:tcW w:w="3638" w:type="dxa"/>
            <w:tcBorders>
              <w:top w:val="single" w:sz="6" w:space="0" w:color="auto"/>
              <w:left w:val="single" w:sz="6" w:space="0" w:color="auto"/>
              <w:bottom w:val="single" w:sz="6" w:space="0" w:color="auto"/>
              <w:right w:val="single" w:sz="6" w:space="0" w:color="auto"/>
            </w:tcBorders>
            <w:shd w:val="clear" w:color="auto" w:fill="FFFFFF"/>
            <w:hideMark/>
          </w:tcPr>
          <w:p w14:paraId="14DA5C2C" w14:textId="77777777" w:rsidR="00827C5E" w:rsidRPr="00261930" w:rsidRDefault="00827C5E" w:rsidP="006E6984">
            <w:pPr>
              <w:shd w:val="clear" w:color="auto" w:fill="FFFFFF"/>
              <w:ind w:left="-40"/>
              <w:jc w:val="center"/>
              <w:rPr>
                <w:sz w:val="20"/>
                <w:szCs w:val="20"/>
                <w:lang w:val="uk-UA"/>
              </w:rPr>
            </w:pPr>
            <w:r w:rsidRPr="00261930">
              <w:rPr>
                <w:bCs/>
                <w:sz w:val="20"/>
                <w:szCs w:val="20"/>
                <w:lang w:val="uk-UA"/>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180EC746" w14:textId="77777777" w:rsidR="00827C5E" w:rsidRPr="00261930" w:rsidRDefault="00827C5E" w:rsidP="006E6984">
            <w:pPr>
              <w:shd w:val="clear" w:color="auto" w:fill="FFFFFF"/>
              <w:ind w:left="-40"/>
              <w:jc w:val="center"/>
              <w:rPr>
                <w:sz w:val="20"/>
                <w:szCs w:val="20"/>
                <w:lang w:val="uk-UA"/>
              </w:rPr>
            </w:pPr>
            <w:r w:rsidRPr="00261930">
              <w:rPr>
                <w:bCs/>
                <w:sz w:val="20"/>
                <w:szCs w:val="20"/>
                <w:lang w:val="uk-UA"/>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131F531" w14:textId="74A1A160" w:rsidR="00827C5E" w:rsidRPr="00261930" w:rsidRDefault="00827C5E" w:rsidP="006E6984">
            <w:pPr>
              <w:shd w:val="clear" w:color="auto" w:fill="FFFFFF"/>
              <w:ind w:left="-40"/>
              <w:jc w:val="center"/>
              <w:rPr>
                <w:bCs/>
                <w:sz w:val="20"/>
                <w:szCs w:val="20"/>
                <w:lang w:val="uk-UA"/>
              </w:rPr>
            </w:pPr>
            <w:r w:rsidRPr="00261930">
              <w:rPr>
                <w:sz w:val="20"/>
                <w:szCs w:val="20"/>
                <w:lang w:val="uk-UA"/>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43F31BB0" w14:textId="080F2CBF" w:rsidR="00827C5E" w:rsidRPr="00261930" w:rsidRDefault="00827C5E" w:rsidP="006E6984">
            <w:pPr>
              <w:shd w:val="clear" w:color="auto" w:fill="FFFFFF"/>
              <w:ind w:left="-40"/>
              <w:jc w:val="center"/>
              <w:rPr>
                <w:sz w:val="20"/>
                <w:szCs w:val="20"/>
                <w:lang w:val="uk-UA"/>
              </w:rPr>
            </w:pPr>
            <w:r w:rsidRPr="00261930">
              <w:rPr>
                <w:sz w:val="20"/>
                <w:szCs w:val="20"/>
                <w:lang w:val="uk-UA"/>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607A12E4" w14:textId="7740C043" w:rsidR="00827C5E" w:rsidRPr="00261930" w:rsidRDefault="00827C5E" w:rsidP="006E6984">
            <w:pPr>
              <w:shd w:val="clear" w:color="auto" w:fill="FFFFFF"/>
              <w:ind w:left="-40"/>
              <w:jc w:val="center"/>
              <w:rPr>
                <w:sz w:val="20"/>
                <w:szCs w:val="20"/>
                <w:lang w:val="uk-UA"/>
              </w:rPr>
            </w:pPr>
            <w:r w:rsidRPr="00261930">
              <w:rPr>
                <w:sz w:val="20"/>
                <w:szCs w:val="20"/>
                <w:lang w:val="uk-UA"/>
              </w:rPr>
              <w:t>5</w:t>
            </w:r>
          </w:p>
        </w:tc>
      </w:tr>
      <w:tr w:rsidR="00827C5E" w:rsidRPr="00261930" w14:paraId="7E124E81" w14:textId="77777777" w:rsidTr="001551F3">
        <w:trPr>
          <w:trHeight w:hRule="exact" w:val="326"/>
        </w:trPr>
        <w:tc>
          <w:tcPr>
            <w:tcW w:w="3638" w:type="dxa"/>
            <w:tcBorders>
              <w:top w:val="single" w:sz="6" w:space="0" w:color="auto"/>
              <w:left w:val="single" w:sz="6" w:space="0" w:color="auto"/>
              <w:bottom w:val="single" w:sz="6" w:space="0" w:color="auto"/>
              <w:right w:val="single" w:sz="6" w:space="0" w:color="auto"/>
            </w:tcBorders>
            <w:shd w:val="clear" w:color="auto" w:fill="FFFFFF"/>
          </w:tcPr>
          <w:p w14:paraId="7F80B2D9" w14:textId="7B709B7D" w:rsidR="00827C5E" w:rsidRPr="00261930" w:rsidRDefault="00827C5E" w:rsidP="006E6984">
            <w:pPr>
              <w:shd w:val="clear" w:color="auto" w:fill="FFFFFF"/>
              <w:ind w:left="58"/>
              <w:rPr>
                <w:b/>
                <w:bCs/>
                <w:spacing w:val="-5"/>
                <w:sz w:val="20"/>
                <w:szCs w:val="20"/>
                <w:lang w:val="uk-UA"/>
              </w:rPr>
            </w:pPr>
            <w:r w:rsidRPr="00261930">
              <w:rPr>
                <w:b/>
                <w:bCs/>
                <w:spacing w:val="-5"/>
                <w:sz w:val="20"/>
                <w:szCs w:val="20"/>
                <w:lang w:val="uk-UA"/>
              </w:rPr>
              <w:t>Прим.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75A2047" w14:textId="35554498" w:rsidR="00827C5E" w:rsidRPr="00261930" w:rsidRDefault="00BB2B58" w:rsidP="006E6984">
            <w:pPr>
              <w:shd w:val="clear" w:color="auto" w:fill="FFFFFF"/>
              <w:jc w:val="center"/>
              <w:rPr>
                <w:b/>
                <w:bCs/>
                <w:sz w:val="20"/>
                <w:szCs w:val="20"/>
                <w:lang w:val="uk-UA"/>
              </w:rPr>
            </w:pPr>
            <w:r w:rsidRPr="00261930">
              <w:rPr>
                <w:b/>
                <w:bCs/>
                <w:sz w:val="20"/>
                <w:szCs w:val="20"/>
                <w:lang w:val="uk-UA"/>
              </w:rPr>
              <w:t>6.8, 7.4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45AA6BE" w14:textId="05400D46" w:rsidR="00827C5E" w:rsidRPr="00261930" w:rsidRDefault="007C1BB5" w:rsidP="006E6984">
            <w:pPr>
              <w:shd w:val="clear" w:color="auto" w:fill="FFFFFF"/>
              <w:jc w:val="center"/>
              <w:rPr>
                <w:b/>
                <w:bCs/>
                <w:sz w:val="20"/>
                <w:szCs w:val="20"/>
                <w:lang w:val="uk-UA"/>
              </w:rPr>
            </w:pPr>
            <w:r w:rsidRPr="00261930">
              <w:rPr>
                <w:b/>
                <w:bCs/>
                <w:sz w:val="20"/>
                <w:szCs w:val="20"/>
                <w:lang w:val="uk-UA"/>
              </w:rPr>
              <w:t xml:space="preserve">6.1, </w:t>
            </w:r>
            <w:r w:rsidR="00AE14F2" w:rsidRPr="00261930">
              <w:rPr>
                <w:b/>
                <w:bCs/>
                <w:sz w:val="20"/>
                <w:szCs w:val="20"/>
                <w:lang w:val="uk-UA"/>
              </w:rPr>
              <w:t>6.2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ED4A9C" w14:textId="1C8910DC" w:rsidR="00827C5E" w:rsidRPr="00261930" w:rsidRDefault="008B3F07" w:rsidP="006E6984">
            <w:pPr>
              <w:shd w:val="clear" w:color="auto" w:fill="FFFFFF"/>
              <w:ind w:left="102"/>
              <w:jc w:val="center"/>
              <w:rPr>
                <w:b/>
                <w:sz w:val="20"/>
                <w:szCs w:val="20"/>
                <w:lang w:val="uk-UA"/>
              </w:rPr>
            </w:pPr>
            <w:r w:rsidRPr="00261930">
              <w:rPr>
                <w:b/>
                <w:bCs/>
                <w:sz w:val="20"/>
                <w:szCs w:val="20"/>
                <w:lang w:val="uk-UA"/>
              </w:rPr>
              <w:t>6.8, 7.4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5438C3" w14:textId="77777777" w:rsidR="00827C5E" w:rsidRPr="00261930" w:rsidRDefault="00827C5E" w:rsidP="006E6984">
            <w:pPr>
              <w:shd w:val="clear" w:color="auto" w:fill="FFFFFF"/>
              <w:jc w:val="center"/>
              <w:rPr>
                <w:b/>
                <w:sz w:val="20"/>
                <w:szCs w:val="20"/>
                <w:lang w:val="uk-UA"/>
              </w:rPr>
            </w:pPr>
          </w:p>
        </w:tc>
      </w:tr>
      <w:tr w:rsidR="00827C5E" w:rsidRPr="00261930" w14:paraId="2EA16EB4" w14:textId="77777777" w:rsidTr="001551F3">
        <w:trPr>
          <w:trHeight w:hRule="exact" w:val="326"/>
        </w:trPr>
        <w:tc>
          <w:tcPr>
            <w:tcW w:w="3638" w:type="dxa"/>
            <w:tcBorders>
              <w:top w:val="single" w:sz="6" w:space="0" w:color="auto"/>
              <w:left w:val="single" w:sz="6" w:space="0" w:color="auto"/>
              <w:bottom w:val="single" w:sz="6" w:space="0" w:color="auto"/>
              <w:right w:val="single" w:sz="6" w:space="0" w:color="auto"/>
            </w:tcBorders>
            <w:shd w:val="clear" w:color="auto" w:fill="FFFFFF"/>
            <w:hideMark/>
          </w:tcPr>
          <w:p w14:paraId="797DC881" w14:textId="419B5A60" w:rsidR="00827C5E" w:rsidRPr="00261930" w:rsidRDefault="00827C5E" w:rsidP="006E6984">
            <w:pPr>
              <w:shd w:val="clear" w:color="auto" w:fill="FFFFFF"/>
              <w:ind w:left="58"/>
              <w:rPr>
                <w:sz w:val="20"/>
                <w:szCs w:val="20"/>
                <w:lang w:val="uk-UA"/>
              </w:rPr>
            </w:pPr>
            <w:r w:rsidRPr="00261930">
              <w:rPr>
                <w:b/>
                <w:bCs/>
                <w:spacing w:val="-5"/>
                <w:sz w:val="20"/>
                <w:szCs w:val="20"/>
                <w:lang w:val="uk-UA"/>
              </w:rPr>
              <w:lastRenderedPageBreak/>
              <w:t xml:space="preserve">За МСФЗ </w:t>
            </w:r>
            <w:r w:rsidR="009E3F9E" w:rsidRPr="00261930">
              <w:rPr>
                <w:b/>
                <w:bCs/>
                <w:sz w:val="20"/>
                <w:szCs w:val="20"/>
                <w:lang w:val="uk-UA"/>
              </w:rPr>
              <w:t xml:space="preserve">на </w:t>
            </w:r>
            <w:r w:rsidR="006048BC" w:rsidRPr="00261930">
              <w:rPr>
                <w:b/>
                <w:bCs/>
                <w:sz w:val="20"/>
                <w:szCs w:val="20"/>
                <w:lang w:val="uk-UA"/>
              </w:rPr>
              <w:t>01.01.2021</w:t>
            </w:r>
            <w:r w:rsidRPr="00261930">
              <w:rPr>
                <w:b/>
                <w:bCs/>
                <w:sz w:val="20"/>
                <w:szCs w:val="20"/>
                <w:lang w:val="uk-UA"/>
              </w:rPr>
              <w:t xml:space="preserve"> р.</w:t>
            </w:r>
            <w:r w:rsidRPr="00261930">
              <w:rPr>
                <w:sz w:val="20"/>
                <w:szCs w:val="20"/>
                <w:lang w:val="uk-UA"/>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14:paraId="6981EEFA" w14:textId="2D2B7D31" w:rsidR="00827C5E" w:rsidRPr="00261930" w:rsidRDefault="00DF1B3B" w:rsidP="006E6984">
            <w:pPr>
              <w:shd w:val="clear" w:color="auto" w:fill="FFFFFF"/>
              <w:jc w:val="center"/>
              <w:rPr>
                <w:b/>
                <w:bCs/>
                <w:sz w:val="20"/>
                <w:szCs w:val="20"/>
                <w:lang w:val="uk-UA"/>
              </w:rPr>
            </w:pPr>
            <w:r w:rsidRPr="00261930">
              <w:rPr>
                <w:b/>
                <w:bCs/>
                <w:sz w:val="20"/>
                <w:szCs w:val="20"/>
                <w:lang w:val="uk-UA"/>
              </w:rPr>
              <w:t>7</w:t>
            </w:r>
            <w:r w:rsidR="00EE6085" w:rsidRPr="00261930">
              <w:rPr>
                <w:b/>
                <w:bCs/>
                <w:sz w:val="20"/>
                <w:szCs w:val="20"/>
                <w:lang w:val="uk-UA"/>
              </w:rPr>
              <w:t xml:space="preserve"> </w:t>
            </w:r>
            <w:r w:rsidRPr="00261930">
              <w:rPr>
                <w:b/>
                <w:bCs/>
                <w:sz w:val="20"/>
                <w:szCs w:val="20"/>
                <w:lang w:val="uk-UA"/>
              </w:rPr>
              <w:t>500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6312AB2" w14:textId="6CD821DD" w:rsidR="00827C5E" w:rsidRPr="00261930" w:rsidRDefault="00DF1B3B" w:rsidP="006E6984">
            <w:pPr>
              <w:shd w:val="clear" w:color="auto" w:fill="FFFFFF"/>
              <w:jc w:val="center"/>
              <w:rPr>
                <w:b/>
                <w:bCs/>
                <w:sz w:val="20"/>
                <w:szCs w:val="20"/>
                <w:lang w:val="uk-UA"/>
              </w:rPr>
            </w:pPr>
            <w:r w:rsidRPr="00261930">
              <w:rPr>
                <w:b/>
                <w:sz w:val="20"/>
                <w:szCs w:val="20"/>
                <w:lang w:val="uk-UA"/>
              </w:rPr>
              <w:t>(338)</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56AAF8B4" w14:textId="6A66430A" w:rsidR="00827C5E" w:rsidRPr="00261930" w:rsidRDefault="00827C5E" w:rsidP="006E6984">
            <w:pPr>
              <w:shd w:val="clear" w:color="auto" w:fill="FFFFFF"/>
              <w:ind w:left="102"/>
              <w:jc w:val="center"/>
              <w:rPr>
                <w:b/>
                <w:sz w:val="20"/>
                <w:szCs w:val="20"/>
                <w:lang w:val="uk-UA"/>
              </w:rPr>
            </w:pPr>
            <w:r w:rsidRPr="00261930">
              <w:rPr>
                <w:b/>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7813E768" w14:textId="49251BFD" w:rsidR="00827C5E" w:rsidRPr="00261930" w:rsidRDefault="00DF1B3B" w:rsidP="006E6984">
            <w:pPr>
              <w:shd w:val="clear" w:color="auto" w:fill="FFFFFF"/>
              <w:jc w:val="center"/>
              <w:rPr>
                <w:b/>
                <w:sz w:val="20"/>
                <w:szCs w:val="20"/>
                <w:lang w:val="uk-UA"/>
              </w:rPr>
            </w:pPr>
            <w:r w:rsidRPr="00261930">
              <w:rPr>
                <w:b/>
                <w:sz w:val="20"/>
                <w:szCs w:val="20"/>
                <w:lang w:val="uk-UA"/>
              </w:rPr>
              <w:t>7 162</w:t>
            </w:r>
          </w:p>
        </w:tc>
      </w:tr>
      <w:tr w:rsidR="00827C5E" w:rsidRPr="00261930" w14:paraId="42A5A33F" w14:textId="77777777" w:rsidTr="001551F3">
        <w:trPr>
          <w:trHeight w:hRule="exact" w:val="497"/>
        </w:trPr>
        <w:tc>
          <w:tcPr>
            <w:tcW w:w="3638" w:type="dxa"/>
            <w:tcBorders>
              <w:top w:val="single" w:sz="6" w:space="0" w:color="auto"/>
              <w:left w:val="single" w:sz="6" w:space="0" w:color="auto"/>
              <w:bottom w:val="single" w:sz="6" w:space="0" w:color="auto"/>
              <w:right w:val="single" w:sz="6" w:space="0" w:color="auto"/>
            </w:tcBorders>
            <w:shd w:val="clear" w:color="auto" w:fill="FFFFFF"/>
          </w:tcPr>
          <w:p w14:paraId="0220B4DA" w14:textId="77777777" w:rsidR="00827C5E" w:rsidRPr="00261930" w:rsidRDefault="00827C5E" w:rsidP="006E6984">
            <w:pPr>
              <w:shd w:val="clear" w:color="auto" w:fill="FFFFFF"/>
              <w:rPr>
                <w:bCs/>
                <w:sz w:val="20"/>
                <w:szCs w:val="20"/>
                <w:lang w:val="uk-UA"/>
              </w:rPr>
            </w:pPr>
            <w:r w:rsidRPr="00261930">
              <w:rPr>
                <w:bCs/>
                <w:sz w:val="20"/>
                <w:szCs w:val="20"/>
                <w:lang w:val="uk-UA"/>
              </w:rPr>
              <w:t>Чистий прибуток (збиток) за звітний період</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BC6D148" w14:textId="77777777" w:rsidR="00827C5E" w:rsidRPr="00261930" w:rsidRDefault="00827C5E" w:rsidP="006E6984">
            <w:pPr>
              <w:shd w:val="clear" w:color="auto" w:fill="FFFFFF"/>
              <w:jc w:val="center"/>
              <w:rPr>
                <w:bCs/>
                <w:sz w:val="20"/>
                <w:szCs w:val="20"/>
                <w:lang w:val="uk-UA"/>
              </w:rPr>
            </w:pPr>
            <w:r w:rsidRPr="00261930">
              <w:rPr>
                <w:bCs/>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4D0F0AE" w14:textId="10D1E85B" w:rsidR="00827C5E" w:rsidRPr="00261930" w:rsidRDefault="00827C5E" w:rsidP="006E6984">
            <w:pPr>
              <w:shd w:val="clear" w:color="auto" w:fill="FFFFFF"/>
              <w:jc w:val="center"/>
              <w:rPr>
                <w:bCs/>
                <w:sz w:val="20"/>
                <w:szCs w:val="20"/>
                <w:lang w:val="uk-UA"/>
              </w:rPr>
            </w:pPr>
            <w:r w:rsidRPr="00261930">
              <w:rPr>
                <w:sz w:val="20"/>
                <w:szCs w:val="20"/>
                <w:lang w:val="uk-UA"/>
              </w:rPr>
              <w:t>(</w:t>
            </w:r>
            <w:r w:rsidR="00A511B0" w:rsidRPr="00261930">
              <w:rPr>
                <w:sz w:val="20"/>
                <w:szCs w:val="20"/>
                <w:lang w:val="uk-UA"/>
              </w:rPr>
              <w:t>184</w:t>
            </w:r>
            <w:r w:rsidRPr="00261930">
              <w:rPr>
                <w:sz w:val="20"/>
                <w:szCs w:val="20"/>
                <w:lang w:val="uk-UA"/>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37CF8CC" w14:textId="5FC50DBB" w:rsidR="00827C5E" w:rsidRPr="00261930" w:rsidRDefault="00261930" w:rsidP="006E6984">
            <w:pPr>
              <w:shd w:val="clear" w:color="auto" w:fill="FFFFFF"/>
              <w:ind w:left="102"/>
              <w:jc w:val="center"/>
              <w:rPr>
                <w:strike/>
                <w:sz w:val="20"/>
                <w:szCs w:val="20"/>
                <w:lang w:val="uk-UA"/>
              </w:rPr>
            </w:pPr>
            <w:r>
              <w:rPr>
                <w:strike/>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617A81" w14:textId="4796BB0A" w:rsidR="00827C5E" w:rsidRPr="00261930" w:rsidRDefault="00827C5E" w:rsidP="006E6984">
            <w:pPr>
              <w:shd w:val="clear" w:color="auto" w:fill="FFFFFF"/>
              <w:jc w:val="center"/>
              <w:rPr>
                <w:bCs/>
                <w:sz w:val="20"/>
                <w:szCs w:val="20"/>
                <w:lang w:val="uk-UA"/>
              </w:rPr>
            </w:pPr>
            <w:r w:rsidRPr="00261930">
              <w:rPr>
                <w:sz w:val="20"/>
                <w:szCs w:val="20"/>
                <w:lang w:val="uk-UA"/>
              </w:rPr>
              <w:t>(</w:t>
            </w:r>
            <w:r w:rsidR="00A511B0" w:rsidRPr="00261930">
              <w:rPr>
                <w:sz w:val="20"/>
                <w:szCs w:val="20"/>
                <w:lang w:val="uk-UA"/>
              </w:rPr>
              <w:t>184</w:t>
            </w:r>
            <w:r w:rsidRPr="00261930">
              <w:rPr>
                <w:sz w:val="20"/>
                <w:szCs w:val="20"/>
                <w:lang w:val="uk-UA"/>
              </w:rPr>
              <w:t>)</w:t>
            </w:r>
          </w:p>
        </w:tc>
      </w:tr>
      <w:tr w:rsidR="00827C5E" w:rsidRPr="00261930" w14:paraId="40C1FDED" w14:textId="77777777" w:rsidTr="001551F3">
        <w:trPr>
          <w:trHeight w:hRule="exact" w:val="326"/>
        </w:trPr>
        <w:tc>
          <w:tcPr>
            <w:tcW w:w="3638" w:type="dxa"/>
            <w:tcBorders>
              <w:top w:val="single" w:sz="6" w:space="0" w:color="auto"/>
              <w:left w:val="single" w:sz="6" w:space="0" w:color="auto"/>
              <w:bottom w:val="single" w:sz="6" w:space="0" w:color="auto"/>
              <w:right w:val="single" w:sz="6" w:space="0" w:color="auto"/>
            </w:tcBorders>
            <w:shd w:val="clear" w:color="auto" w:fill="FFFFFF"/>
          </w:tcPr>
          <w:p w14:paraId="67746F71" w14:textId="163C06D3" w:rsidR="00827C5E" w:rsidRPr="008D1B3A" w:rsidRDefault="00827C5E" w:rsidP="006E6984">
            <w:pPr>
              <w:shd w:val="clear" w:color="auto" w:fill="FFFFFF"/>
              <w:ind w:left="58"/>
              <w:rPr>
                <w:i/>
                <w:iCs/>
                <w:sz w:val="20"/>
                <w:szCs w:val="20"/>
                <w:lang w:val="uk-UA"/>
              </w:rPr>
            </w:pPr>
            <w:r w:rsidRPr="008D1B3A">
              <w:rPr>
                <w:b/>
                <w:bCs/>
                <w:i/>
                <w:iCs/>
                <w:spacing w:val="-5"/>
                <w:sz w:val="20"/>
                <w:szCs w:val="20"/>
                <w:lang w:val="uk-UA"/>
              </w:rPr>
              <w:t xml:space="preserve">За МСФЗ </w:t>
            </w:r>
            <w:r w:rsidRPr="008D1B3A">
              <w:rPr>
                <w:b/>
                <w:bCs/>
                <w:i/>
                <w:iCs/>
                <w:sz w:val="20"/>
                <w:szCs w:val="20"/>
                <w:lang w:val="uk-UA"/>
              </w:rPr>
              <w:t xml:space="preserve">на </w:t>
            </w:r>
            <w:r w:rsidR="00980979" w:rsidRPr="008D1B3A">
              <w:rPr>
                <w:b/>
                <w:bCs/>
                <w:i/>
                <w:iCs/>
                <w:sz w:val="20"/>
                <w:szCs w:val="20"/>
                <w:lang w:val="uk-UA"/>
              </w:rPr>
              <w:t>31.03.2021</w:t>
            </w:r>
            <w:r w:rsidRPr="008D1B3A">
              <w:rPr>
                <w:b/>
                <w:bCs/>
                <w:i/>
                <w:iCs/>
                <w:sz w:val="20"/>
                <w:szCs w:val="20"/>
                <w:lang w:val="uk-UA"/>
              </w:rPr>
              <w:t xml:space="preserve"> р.</w:t>
            </w:r>
            <w:r w:rsidRPr="008D1B3A">
              <w:rPr>
                <w:i/>
                <w:iCs/>
                <w:sz w:val="20"/>
                <w:szCs w:val="20"/>
                <w:lang w:val="uk-UA"/>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8E42DCB" w14:textId="47A41E0B" w:rsidR="00827C5E" w:rsidRPr="008D1B3A" w:rsidRDefault="00827C5E" w:rsidP="006E6984">
            <w:pPr>
              <w:shd w:val="clear" w:color="auto" w:fill="FFFFFF"/>
              <w:jc w:val="center"/>
              <w:rPr>
                <w:b/>
                <w:bCs/>
                <w:i/>
                <w:iCs/>
                <w:sz w:val="20"/>
                <w:szCs w:val="20"/>
                <w:lang w:val="uk-UA"/>
              </w:rPr>
            </w:pPr>
            <w:r w:rsidRPr="008D1B3A">
              <w:rPr>
                <w:b/>
                <w:bCs/>
                <w:i/>
                <w:iCs/>
                <w:sz w:val="20"/>
                <w:szCs w:val="20"/>
                <w:lang w:val="uk-UA"/>
              </w:rPr>
              <w:t>7 500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5E47654" w14:textId="0B150D3C" w:rsidR="00827C5E" w:rsidRPr="008D1B3A" w:rsidRDefault="00827C5E" w:rsidP="006E6984">
            <w:pPr>
              <w:shd w:val="clear" w:color="auto" w:fill="FFFFFF"/>
              <w:jc w:val="center"/>
              <w:rPr>
                <w:b/>
                <w:bCs/>
                <w:i/>
                <w:iCs/>
                <w:sz w:val="20"/>
                <w:szCs w:val="20"/>
                <w:lang w:val="uk-UA"/>
              </w:rPr>
            </w:pPr>
            <w:r w:rsidRPr="008D1B3A">
              <w:rPr>
                <w:b/>
                <w:i/>
                <w:iCs/>
                <w:sz w:val="20"/>
                <w:szCs w:val="20"/>
                <w:lang w:val="uk-UA"/>
              </w:rPr>
              <w:t>(</w:t>
            </w:r>
            <w:r w:rsidR="00EE6085" w:rsidRPr="008D1B3A">
              <w:rPr>
                <w:b/>
                <w:i/>
                <w:iCs/>
                <w:sz w:val="20"/>
                <w:szCs w:val="20"/>
                <w:lang w:val="uk-UA"/>
              </w:rPr>
              <w:t>522</w:t>
            </w:r>
            <w:r w:rsidRPr="008D1B3A">
              <w:rPr>
                <w:b/>
                <w:i/>
                <w:iCs/>
                <w:sz w:val="20"/>
                <w:szCs w:val="20"/>
                <w:lang w:val="uk-UA"/>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999A763" w14:textId="738C1315" w:rsidR="00827C5E" w:rsidRPr="008D1B3A" w:rsidRDefault="00261930" w:rsidP="006E6984">
            <w:pPr>
              <w:shd w:val="clear" w:color="auto" w:fill="FFFFFF"/>
              <w:ind w:left="102"/>
              <w:jc w:val="center"/>
              <w:rPr>
                <w:b/>
                <w:i/>
                <w:iCs/>
                <w:strike/>
                <w:sz w:val="20"/>
                <w:szCs w:val="20"/>
                <w:lang w:val="uk-UA"/>
              </w:rPr>
            </w:pPr>
            <w:r w:rsidRPr="008D1B3A">
              <w:rPr>
                <w:b/>
                <w:i/>
                <w:iCs/>
                <w:strike/>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6B74AEC" w14:textId="700C9134" w:rsidR="00827C5E" w:rsidRPr="008D1B3A" w:rsidRDefault="00EE6085" w:rsidP="006E6984">
            <w:pPr>
              <w:shd w:val="clear" w:color="auto" w:fill="FFFFFF"/>
              <w:jc w:val="center"/>
              <w:rPr>
                <w:b/>
                <w:i/>
                <w:iCs/>
                <w:sz w:val="20"/>
                <w:szCs w:val="20"/>
                <w:lang w:val="uk-UA"/>
              </w:rPr>
            </w:pPr>
            <w:r w:rsidRPr="008D1B3A">
              <w:rPr>
                <w:b/>
                <w:i/>
                <w:iCs/>
                <w:sz w:val="20"/>
                <w:szCs w:val="20"/>
                <w:lang w:val="uk-UA"/>
              </w:rPr>
              <w:t>6 978</w:t>
            </w:r>
          </w:p>
        </w:tc>
      </w:tr>
    </w:tbl>
    <w:p w14:paraId="6D373DCB" w14:textId="743EDE12" w:rsidR="00A46121" w:rsidRPr="000E05A8" w:rsidRDefault="00A46121" w:rsidP="00A46121">
      <w:pPr>
        <w:rPr>
          <w:i/>
          <w:sz w:val="22"/>
          <w:szCs w:val="22"/>
          <w:lang w:val="uk-UA"/>
        </w:rPr>
      </w:pPr>
      <w:r w:rsidRPr="000E05A8">
        <w:rPr>
          <w:i/>
          <w:sz w:val="22"/>
          <w:szCs w:val="22"/>
          <w:lang w:val="uk-UA"/>
        </w:rPr>
        <w:t>Затверджено до випуску та підписано «05»</w:t>
      </w:r>
      <w:r w:rsidRPr="000E05A8">
        <w:rPr>
          <w:i/>
          <w:sz w:val="22"/>
          <w:szCs w:val="22"/>
        </w:rPr>
        <w:t xml:space="preserve"> </w:t>
      </w:r>
      <w:r w:rsidR="00980979" w:rsidRPr="000E05A8">
        <w:rPr>
          <w:i/>
          <w:sz w:val="22"/>
          <w:szCs w:val="22"/>
          <w:lang w:val="uk-UA"/>
        </w:rPr>
        <w:t>квітня</w:t>
      </w:r>
      <w:r w:rsidRPr="000E05A8">
        <w:rPr>
          <w:i/>
          <w:sz w:val="22"/>
          <w:szCs w:val="22"/>
          <w:lang w:val="uk-UA"/>
        </w:rPr>
        <w:t xml:space="preserve"> </w:t>
      </w:r>
      <w:r w:rsidRPr="000E05A8">
        <w:rPr>
          <w:i/>
          <w:sz w:val="22"/>
          <w:szCs w:val="22"/>
        </w:rPr>
        <w:t>20</w:t>
      </w:r>
      <w:r w:rsidRPr="000E05A8">
        <w:rPr>
          <w:i/>
          <w:sz w:val="22"/>
          <w:szCs w:val="22"/>
          <w:lang w:val="uk-UA"/>
        </w:rPr>
        <w:t>2</w:t>
      </w:r>
      <w:r w:rsidR="00980979" w:rsidRPr="000E05A8">
        <w:rPr>
          <w:i/>
          <w:sz w:val="22"/>
          <w:szCs w:val="22"/>
          <w:lang w:val="uk-UA"/>
        </w:rPr>
        <w:t>1</w:t>
      </w:r>
      <w:r w:rsidRPr="000E05A8">
        <w:rPr>
          <w:i/>
          <w:sz w:val="22"/>
          <w:szCs w:val="22"/>
          <w:lang w:val="uk-UA"/>
        </w:rPr>
        <w:t xml:space="preserve"> р.</w:t>
      </w:r>
    </w:p>
    <w:p w14:paraId="19A83566" w14:textId="2ADA5AB1" w:rsidR="00AD3F05" w:rsidRPr="000E05A8" w:rsidRDefault="00A46121" w:rsidP="00A46121">
      <w:pPr>
        <w:rPr>
          <w:color w:val="FF0000"/>
          <w:sz w:val="22"/>
          <w:szCs w:val="22"/>
          <w:lang w:val="uk-UA"/>
        </w:rPr>
      </w:pPr>
      <w:r w:rsidRPr="000E05A8">
        <w:rPr>
          <w:b/>
          <w:sz w:val="22"/>
          <w:szCs w:val="22"/>
          <w:lang w:val="uk-UA"/>
        </w:rPr>
        <w:t xml:space="preserve">Звіт про рух грошових коштів </w:t>
      </w:r>
      <w:r w:rsidR="00D161DA" w:rsidRPr="000E05A8">
        <w:rPr>
          <w:b/>
          <w:sz w:val="22"/>
          <w:szCs w:val="22"/>
          <w:lang w:val="uk-UA"/>
        </w:rPr>
        <w:t>за період</w:t>
      </w:r>
      <w:r w:rsidR="00A700A8" w:rsidRPr="000E05A8">
        <w:rPr>
          <w:b/>
          <w:sz w:val="22"/>
          <w:szCs w:val="22"/>
          <w:lang w:val="uk-UA"/>
        </w:rPr>
        <w:t xml:space="preserve"> з </w:t>
      </w:r>
      <w:r w:rsidR="002628FB" w:rsidRPr="000E05A8">
        <w:rPr>
          <w:b/>
          <w:sz w:val="22"/>
          <w:szCs w:val="22"/>
          <w:lang w:val="uk-UA"/>
        </w:rPr>
        <w:t>01 січня 2021 року</w:t>
      </w:r>
      <w:r w:rsidR="00980979" w:rsidRPr="000E05A8">
        <w:rPr>
          <w:b/>
          <w:sz w:val="22"/>
          <w:szCs w:val="22"/>
          <w:lang w:val="uk-UA"/>
        </w:rPr>
        <w:t xml:space="preserve"> </w:t>
      </w:r>
      <w:r w:rsidR="00A700A8" w:rsidRPr="000E05A8">
        <w:rPr>
          <w:b/>
          <w:sz w:val="22"/>
          <w:szCs w:val="22"/>
          <w:lang w:val="uk-UA"/>
        </w:rPr>
        <w:t>по</w:t>
      </w:r>
      <w:r w:rsidR="00D161DA" w:rsidRPr="000E05A8">
        <w:rPr>
          <w:b/>
          <w:sz w:val="22"/>
          <w:szCs w:val="22"/>
          <w:lang w:val="uk-UA"/>
        </w:rPr>
        <w:t xml:space="preserve"> </w:t>
      </w:r>
      <w:r w:rsidR="00980979" w:rsidRPr="000E05A8">
        <w:rPr>
          <w:b/>
          <w:sz w:val="22"/>
          <w:szCs w:val="22"/>
          <w:lang w:val="uk-UA"/>
        </w:rPr>
        <w:t>31 березня 2021</w:t>
      </w:r>
      <w:r w:rsidR="00FA7519" w:rsidRPr="000E05A8">
        <w:rPr>
          <w:b/>
          <w:sz w:val="22"/>
          <w:szCs w:val="22"/>
          <w:lang w:val="uk-UA"/>
        </w:rPr>
        <w:t xml:space="preserve"> року</w:t>
      </w:r>
    </w:p>
    <w:p w14:paraId="76D2A95D" w14:textId="77777777" w:rsidR="003F4F9C" w:rsidRPr="000E05A8" w:rsidRDefault="003F4F9C" w:rsidP="003F4F9C">
      <w:pPr>
        <w:jc w:val="right"/>
        <w:rPr>
          <w:sz w:val="22"/>
          <w:szCs w:val="22"/>
          <w:lang w:val="uk-UA"/>
        </w:rPr>
      </w:pPr>
      <w:r w:rsidRPr="000E05A8">
        <w:rPr>
          <w:sz w:val="22"/>
          <w:szCs w:val="22"/>
          <w:lang w:val="uk-UA"/>
        </w:rPr>
        <w:t>(тис.грн.)</w:t>
      </w:r>
    </w:p>
    <w:tbl>
      <w:tblPr>
        <w:tblpPr w:leftFromText="180" w:rightFromText="180" w:vertAnchor="text" w:tblpY="1"/>
        <w:tblOverlap w:val="never"/>
        <w:tblW w:w="9915"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662"/>
        <w:gridCol w:w="851"/>
        <w:gridCol w:w="3402"/>
      </w:tblGrid>
      <w:tr w:rsidR="00493913" w:rsidRPr="00261930" w14:paraId="06E07A27" w14:textId="77777777" w:rsidTr="003F4F9C">
        <w:trPr>
          <w:trHeight w:hRule="exact" w:val="729"/>
        </w:trPr>
        <w:tc>
          <w:tcPr>
            <w:tcW w:w="5662" w:type="dxa"/>
            <w:shd w:val="clear" w:color="auto" w:fill="FFFFFF"/>
          </w:tcPr>
          <w:p w14:paraId="314608ED" w14:textId="7A9C3AD5" w:rsidR="00493913" w:rsidRPr="00261930" w:rsidRDefault="00493913" w:rsidP="007C4254">
            <w:pPr>
              <w:shd w:val="clear" w:color="auto" w:fill="FFFFFF"/>
              <w:jc w:val="center"/>
              <w:rPr>
                <w:b/>
                <w:bCs/>
                <w:sz w:val="20"/>
                <w:szCs w:val="20"/>
                <w:lang w:val="uk-UA"/>
              </w:rPr>
            </w:pPr>
            <w:r w:rsidRPr="00261930">
              <w:rPr>
                <w:b/>
                <w:bCs/>
                <w:sz w:val="20"/>
                <w:szCs w:val="20"/>
                <w:lang w:val="uk-UA"/>
              </w:rPr>
              <w:t>Статті</w:t>
            </w:r>
          </w:p>
        </w:tc>
        <w:tc>
          <w:tcPr>
            <w:tcW w:w="851" w:type="dxa"/>
            <w:shd w:val="clear" w:color="auto" w:fill="FFFFFF"/>
          </w:tcPr>
          <w:p w14:paraId="364C8D15" w14:textId="3D6C7E6A" w:rsidR="00493913" w:rsidRPr="00261930" w:rsidRDefault="00493913" w:rsidP="007C4254">
            <w:pPr>
              <w:shd w:val="clear" w:color="auto" w:fill="FFFFFF"/>
              <w:jc w:val="center"/>
              <w:rPr>
                <w:b/>
                <w:bCs/>
                <w:sz w:val="20"/>
                <w:szCs w:val="20"/>
                <w:lang w:val="uk-UA"/>
              </w:rPr>
            </w:pPr>
            <w:r w:rsidRPr="00261930">
              <w:rPr>
                <w:b/>
                <w:bCs/>
                <w:sz w:val="20"/>
                <w:szCs w:val="20"/>
                <w:lang w:val="uk-UA"/>
              </w:rPr>
              <w:t>Прим.</w:t>
            </w:r>
          </w:p>
        </w:tc>
        <w:tc>
          <w:tcPr>
            <w:tcW w:w="3402" w:type="dxa"/>
            <w:shd w:val="clear" w:color="auto" w:fill="FFFFFF"/>
            <w:hideMark/>
          </w:tcPr>
          <w:p w14:paraId="4BA50346" w14:textId="061C651D" w:rsidR="00493913" w:rsidRPr="00261930" w:rsidRDefault="00493913" w:rsidP="007C4254">
            <w:pPr>
              <w:shd w:val="clear" w:color="auto" w:fill="FFFFFF"/>
              <w:jc w:val="center"/>
              <w:rPr>
                <w:b/>
                <w:bCs/>
                <w:sz w:val="20"/>
                <w:szCs w:val="20"/>
                <w:lang w:val="uk-UA"/>
              </w:rPr>
            </w:pPr>
            <w:r w:rsidRPr="00261930">
              <w:rPr>
                <w:b/>
                <w:bCs/>
                <w:sz w:val="20"/>
                <w:szCs w:val="20"/>
                <w:lang w:val="uk-UA"/>
              </w:rPr>
              <w:t xml:space="preserve">Період з </w:t>
            </w:r>
            <w:r w:rsidR="00972A2C" w:rsidRPr="00261930">
              <w:rPr>
                <w:b/>
                <w:bCs/>
                <w:sz w:val="20"/>
                <w:szCs w:val="20"/>
                <w:lang w:val="uk-UA"/>
              </w:rPr>
              <w:t xml:space="preserve">01.01.2021 року по </w:t>
            </w:r>
            <w:r w:rsidR="00980979" w:rsidRPr="00261930">
              <w:rPr>
                <w:b/>
                <w:bCs/>
                <w:sz w:val="20"/>
                <w:szCs w:val="20"/>
                <w:lang w:val="uk-UA"/>
              </w:rPr>
              <w:t>31.03.2021</w:t>
            </w:r>
            <w:r w:rsidR="00972A2C" w:rsidRPr="00261930">
              <w:rPr>
                <w:b/>
                <w:bCs/>
                <w:sz w:val="20"/>
                <w:szCs w:val="20"/>
                <w:lang w:val="uk-UA"/>
              </w:rPr>
              <w:t xml:space="preserve"> року</w:t>
            </w:r>
          </w:p>
          <w:p w14:paraId="66D1359A" w14:textId="4E9F2D98" w:rsidR="00493913" w:rsidRPr="00261930" w:rsidRDefault="00493913" w:rsidP="007C4254">
            <w:pPr>
              <w:shd w:val="clear" w:color="auto" w:fill="FFFFFF"/>
              <w:jc w:val="center"/>
              <w:rPr>
                <w:b/>
                <w:sz w:val="20"/>
                <w:szCs w:val="20"/>
                <w:lang w:val="uk-UA"/>
              </w:rPr>
            </w:pPr>
          </w:p>
        </w:tc>
      </w:tr>
      <w:tr w:rsidR="00A1478C" w:rsidRPr="00261930" w14:paraId="24E8242A" w14:textId="77777777" w:rsidTr="003F4F9C">
        <w:trPr>
          <w:trHeight w:hRule="exact" w:val="317"/>
        </w:trPr>
        <w:tc>
          <w:tcPr>
            <w:tcW w:w="5662" w:type="dxa"/>
            <w:shd w:val="clear" w:color="auto" w:fill="FFFFFF"/>
          </w:tcPr>
          <w:p w14:paraId="188846E7" w14:textId="6A718402" w:rsidR="00A1478C" w:rsidRPr="00261930" w:rsidRDefault="00A1478C" w:rsidP="00C87439">
            <w:pPr>
              <w:shd w:val="clear" w:color="auto" w:fill="FFFFFF"/>
              <w:rPr>
                <w:sz w:val="20"/>
                <w:szCs w:val="20"/>
                <w:lang w:val="uk-UA"/>
              </w:rPr>
            </w:pPr>
            <w:r w:rsidRPr="00261930">
              <w:rPr>
                <w:sz w:val="20"/>
                <w:szCs w:val="20"/>
                <w:lang w:val="uk-UA"/>
              </w:rPr>
              <w:t xml:space="preserve">Інші надходження </w:t>
            </w:r>
          </w:p>
        </w:tc>
        <w:tc>
          <w:tcPr>
            <w:tcW w:w="851" w:type="dxa"/>
            <w:shd w:val="clear" w:color="auto" w:fill="FFFFFF"/>
          </w:tcPr>
          <w:p w14:paraId="3F14C384" w14:textId="70FD8E72" w:rsidR="00A1478C" w:rsidRPr="00261930" w:rsidRDefault="00963EAF" w:rsidP="00C87439">
            <w:pPr>
              <w:shd w:val="clear" w:color="auto" w:fill="FFFFFF"/>
              <w:jc w:val="center"/>
              <w:rPr>
                <w:sz w:val="20"/>
                <w:szCs w:val="20"/>
                <w:lang w:val="uk-UA"/>
              </w:rPr>
            </w:pPr>
            <w:r w:rsidRPr="00261930">
              <w:rPr>
                <w:sz w:val="20"/>
                <w:szCs w:val="20"/>
                <w:lang w:val="uk-UA"/>
              </w:rPr>
              <w:t>6.11</w:t>
            </w:r>
          </w:p>
        </w:tc>
        <w:tc>
          <w:tcPr>
            <w:tcW w:w="3402" w:type="dxa"/>
            <w:shd w:val="clear" w:color="auto" w:fill="FFFFFF"/>
          </w:tcPr>
          <w:p w14:paraId="1A9D7041" w14:textId="47205DE3" w:rsidR="00A1478C" w:rsidRPr="00261930" w:rsidRDefault="00963EAF" w:rsidP="00C87439">
            <w:pPr>
              <w:shd w:val="clear" w:color="auto" w:fill="FFFFFF"/>
              <w:jc w:val="center"/>
              <w:rPr>
                <w:sz w:val="20"/>
                <w:szCs w:val="20"/>
                <w:lang w:val="uk-UA"/>
              </w:rPr>
            </w:pPr>
            <w:r w:rsidRPr="00261930">
              <w:rPr>
                <w:sz w:val="20"/>
                <w:szCs w:val="20"/>
                <w:lang w:val="uk-UA"/>
              </w:rPr>
              <w:t>50</w:t>
            </w:r>
          </w:p>
        </w:tc>
      </w:tr>
      <w:tr w:rsidR="00493913" w:rsidRPr="00261930" w14:paraId="35C71600" w14:textId="77777777" w:rsidTr="003F4F9C">
        <w:trPr>
          <w:trHeight w:hRule="exact" w:val="580"/>
        </w:trPr>
        <w:tc>
          <w:tcPr>
            <w:tcW w:w="5662" w:type="dxa"/>
            <w:shd w:val="clear" w:color="auto" w:fill="FFFFFF"/>
            <w:hideMark/>
          </w:tcPr>
          <w:p w14:paraId="263950DF" w14:textId="583BADDF" w:rsidR="00861033" w:rsidRPr="00261930" w:rsidRDefault="00861033" w:rsidP="00C87439">
            <w:pPr>
              <w:shd w:val="clear" w:color="auto" w:fill="FFFFFF"/>
              <w:rPr>
                <w:sz w:val="20"/>
                <w:szCs w:val="20"/>
                <w:lang w:val="uk-UA"/>
              </w:rPr>
            </w:pPr>
            <w:r w:rsidRPr="00261930">
              <w:rPr>
                <w:sz w:val="20"/>
                <w:szCs w:val="20"/>
                <w:lang w:val="uk-UA"/>
              </w:rPr>
              <w:t>Витрачання на оплату</w:t>
            </w:r>
          </w:p>
          <w:p w14:paraId="6CBACD16" w14:textId="20905F21" w:rsidR="00493913" w:rsidRPr="00261930" w:rsidRDefault="008568E1" w:rsidP="008568E1">
            <w:pPr>
              <w:pStyle w:val="a8"/>
              <w:numPr>
                <w:ilvl w:val="0"/>
                <w:numId w:val="27"/>
              </w:numPr>
              <w:shd w:val="clear" w:color="auto" w:fill="FFFFFF"/>
              <w:rPr>
                <w:rFonts w:ascii="Times New Roman" w:hAnsi="Times New Roman"/>
                <w:i/>
                <w:iCs/>
                <w:sz w:val="20"/>
                <w:szCs w:val="20"/>
                <w:lang w:val="uk-UA"/>
              </w:rPr>
            </w:pPr>
            <w:r w:rsidRPr="00261930">
              <w:rPr>
                <w:rFonts w:ascii="Times New Roman" w:hAnsi="Times New Roman"/>
                <w:i/>
                <w:iCs/>
                <w:sz w:val="20"/>
                <w:szCs w:val="20"/>
                <w:lang w:val="uk-UA"/>
              </w:rPr>
              <w:t>товарів (робіт, послуг)</w:t>
            </w:r>
          </w:p>
        </w:tc>
        <w:tc>
          <w:tcPr>
            <w:tcW w:w="851" w:type="dxa"/>
            <w:shd w:val="clear" w:color="auto" w:fill="FFFFFF"/>
          </w:tcPr>
          <w:p w14:paraId="3B0B6CA3" w14:textId="77777777" w:rsidR="00493913" w:rsidRPr="00261930" w:rsidRDefault="00493913" w:rsidP="00C87439">
            <w:pPr>
              <w:shd w:val="clear" w:color="auto" w:fill="FFFFFF"/>
              <w:jc w:val="center"/>
              <w:rPr>
                <w:sz w:val="20"/>
                <w:szCs w:val="20"/>
                <w:lang w:val="uk-UA"/>
              </w:rPr>
            </w:pPr>
          </w:p>
        </w:tc>
        <w:tc>
          <w:tcPr>
            <w:tcW w:w="3402" w:type="dxa"/>
            <w:shd w:val="clear" w:color="auto" w:fill="FFFFFF"/>
          </w:tcPr>
          <w:p w14:paraId="2BAE91CB" w14:textId="77777777" w:rsidR="00493913" w:rsidRPr="00261930" w:rsidRDefault="00493913" w:rsidP="00C87439">
            <w:pPr>
              <w:shd w:val="clear" w:color="auto" w:fill="FFFFFF"/>
              <w:jc w:val="center"/>
              <w:rPr>
                <w:sz w:val="20"/>
                <w:szCs w:val="20"/>
                <w:lang w:val="uk-UA"/>
              </w:rPr>
            </w:pPr>
          </w:p>
          <w:p w14:paraId="555AA830" w14:textId="70DD49C4" w:rsidR="00D06FA4" w:rsidRPr="00261930" w:rsidRDefault="003F4F9C" w:rsidP="00C87439">
            <w:pPr>
              <w:shd w:val="clear" w:color="auto" w:fill="FFFFFF"/>
              <w:jc w:val="center"/>
              <w:rPr>
                <w:sz w:val="20"/>
                <w:szCs w:val="20"/>
                <w:lang w:val="uk-UA"/>
              </w:rPr>
            </w:pPr>
            <w:r w:rsidRPr="00261930">
              <w:rPr>
                <w:sz w:val="20"/>
                <w:szCs w:val="20"/>
                <w:lang w:val="uk-UA"/>
              </w:rPr>
              <w:t>(</w:t>
            </w:r>
            <w:r w:rsidR="00D06FA4" w:rsidRPr="00261930">
              <w:rPr>
                <w:sz w:val="20"/>
                <w:szCs w:val="20"/>
                <w:lang w:val="uk-UA"/>
              </w:rPr>
              <w:t>17</w:t>
            </w:r>
            <w:r w:rsidRPr="00261930">
              <w:rPr>
                <w:sz w:val="20"/>
                <w:szCs w:val="20"/>
                <w:lang w:val="uk-UA"/>
              </w:rPr>
              <w:t>)</w:t>
            </w:r>
          </w:p>
        </w:tc>
      </w:tr>
      <w:tr w:rsidR="00493913" w:rsidRPr="00261930" w14:paraId="42C80322" w14:textId="77777777" w:rsidTr="003F4F9C">
        <w:trPr>
          <w:trHeight w:hRule="exact" w:val="322"/>
        </w:trPr>
        <w:tc>
          <w:tcPr>
            <w:tcW w:w="5662" w:type="dxa"/>
            <w:shd w:val="clear" w:color="auto" w:fill="FFFFFF"/>
            <w:hideMark/>
          </w:tcPr>
          <w:p w14:paraId="31A3C927" w14:textId="4E6B560C" w:rsidR="00493913" w:rsidRPr="00261930" w:rsidRDefault="00CA7990" w:rsidP="00CA7990">
            <w:pPr>
              <w:pStyle w:val="a8"/>
              <w:numPr>
                <w:ilvl w:val="0"/>
                <w:numId w:val="27"/>
              </w:numPr>
              <w:shd w:val="clear" w:color="auto" w:fill="FFFFFF"/>
              <w:rPr>
                <w:rFonts w:ascii="Times New Roman" w:hAnsi="Times New Roman"/>
                <w:i/>
                <w:iCs/>
                <w:sz w:val="20"/>
                <w:szCs w:val="20"/>
                <w:lang w:val="uk-UA"/>
              </w:rPr>
            </w:pPr>
            <w:r w:rsidRPr="00261930">
              <w:rPr>
                <w:rFonts w:ascii="Times New Roman" w:hAnsi="Times New Roman"/>
                <w:i/>
                <w:iCs/>
                <w:sz w:val="20"/>
                <w:szCs w:val="20"/>
                <w:lang w:val="uk-UA"/>
              </w:rPr>
              <w:t>праці</w:t>
            </w:r>
          </w:p>
        </w:tc>
        <w:tc>
          <w:tcPr>
            <w:tcW w:w="851" w:type="dxa"/>
            <w:shd w:val="clear" w:color="auto" w:fill="FFFFFF"/>
          </w:tcPr>
          <w:p w14:paraId="653821B6" w14:textId="77777777" w:rsidR="00493913" w:rsidRPr="00261930" w:rsidRDefault="00493913" w:rsidP="00C87439">
            <w:pPr>
              <w:shd w:val="clear" w:color="auto" w:fill="FFFFFF"/>
              <w:jc w:val="center"/>
              <w:rPr>
                <w:sz w:val="20"/>
                <w:szCs w:val="20"/>
                <w:lang w:val="uk-UA"/>
              </w:rPr>
            </w:pPr>
          </w:p>
        </w:tc>
        <w:tc>
          <w:tcPr>
            <w:tcW w:w="3402" w:type="dxa"/>
            <w:shd w:val="clear" w:color="auto" w:fill="FFFFFF"/>
          </w:tcPr>
          <w:p w14:paraId="7368BE1F" w14:textId="35894F30" w:rsidR="00493913" w:rsidRPr="00261930" w:rsidRDefault="003F4F9C" w:rsidP="00C87439">
            <w:pPr>
              <w:shd w:val="clear" w:color="auto" w:fill="FFFFFF"/>
              <w:jc w:val="center"/>
              <w:rPr>
                <w:sz w:val="20"/>
                <w:szCs w:val="20"/>
                <w:lang w:val="uk-UA"/>
              </w:rPr>
            </w:pPr>
            <w:r w:rsidRPr="00261930">
              <w:rPr>
                <w:sz w:val="20"/>
                <w:szCs w:val="20"/>
                <w:lang w:val="uk-UA"/>
              </w:rPr>
              <w:t>(</w:t>
            </w:r>
            <w:r w:rsidR="00D06FA4" w:rsidRPr="00261930">
              <w:rPr>
                <w:sz w:val="20"/>
                <w:szCs w:val="20"/>
                <w:lang w:val="uk-UA"/>
              </w:rPr>
              <w:t>46</w:t>
            </w:r>
            <w:r w:rsidRPr="00261930">
              <w:rPr>
                <w:sz w:val="20"/>
                <w:szCs w:val="20"/>
                <w:lang w:val="uk-UA"/>
              </w:rPr>
              <w:t>)</w:t>
            </w:r>
          </w:p>
        </w:tc>
      </w:tr>
      <w:tr w:rsidR="00493913" w:rsidRPr="00261930" w14:paraId="651CADA2" w14:textId="77777777" w:rsidTr="003F4F9C">
        <w:trPr>
          <w:trHeight w:val="323"/>
        </w:trPr>
        <w:tc>
          <w:tcPr>
            <w:tcW w:w="5662" w:type="dxa"/>
            <w:shd w:val="clear" w:color="auto" w:fill="FFFFFF"/>
            <w:hideMark/>
          </w:tcPr>
          <w:p w14:paraId="0E2D01C7" w14:textId="3C5FA4AB" w:rsidR="00493913" w:rsidRPr="00261930" w:rsidRDefault="00CA7990" w:rsidP="00CA7990">
            <w:pPr>
              <w:pStyle w:val="a8"/>
              <w:numPr>
                <w:ilvl w:val="0"/>
                <w:numId w:val="27"/>
              </w:numPr>
              <w:shd w:val="clear" w:color="auto" w:fill="FFFFFF"/>
              <w:rPr>
                <w:rFonts w:ascii="Times New Roman" w:hAnsi="Times New Roman"/>
                <w:i/>
                <w:iCs/>
                <w:sz w:val="20"/>
                <w:szCs w:val="20"/>
                <w:lang w:val="uk-UA"/>
              </w:rPr>
            </w:pPr>
            <w:r w:rsidRPr="00261930">
              <w:rPr>
                <w:rFonts w:ascii="Times New Roman" w:hAnsi="Times New Roman"/>
                <w:i/>
                <w:iCs/>
                <w:sz w:val="20"/>
                <w:szCs w:val="20"/>
                <w:lang w:val="uk-UA"/>
              </w:rPr>
              <w:t>відрахувань на соціальні заходи</w:t>
            </w:r>
          </w:p>
        </w:tc>
        <w:tc>
          <w:tcPr>
            <w:tcW w:w="851" w:type="dxa"/>
            <w:shd w:val="clear" w:color="auto" w:fill="FFFFFF"/>
          </w:tcPr>
          <w:p w14:paraId="25CD2051" w14:textId="77777777" w:rsidR="00493913" w:rsidRPr="00261930" w:rsidRDefault="00493913" w:rsidP="00C87439">
            <w:pPr>
              <w:shd w:val="clear" w:color="auto" w:fill="FFFFFF"/>
              <w:jc w:val="center"/>
              <w:rPr>
                <w:sz w:val="20"/>
                <w:szCs w:val="20"/>
                <w:lang w:val="uk-UA"/>
              </w:rPr>
            </w:pPr>
          </w:p>
        </w:tc>
        <w:tc>
          <w:tcPr>
            <w:tcW w:w="3402" w:type="dxa"/>
            <w:shd w:val="clear" w:color="auto" w:fill="FFFFFF"/>
          </w:tcPr>
          <w:p w14:paraId="6FA9DB46" w14:textId="41439C93" w:rsidR="00493913" w:rsidRPr="00261930" w:rsidRDefault="003F4F9C" w:rsidP="00C87439">
            <w:pPr>
              <w:shd w:val="clear" w:color="auto" w:fill="FFFFFF"/>
              <w:jc w:val="center"/>
              <w:rPr>
                <w:sz w:val="20"/>
                <w:szCs w:val="20"/>
                <w:lang w:val="uk-UA"/>
              </w:rPr>
            </w:pPr>
            <w:r w:rsidRPr="00261930">
              <w:rPr>
                <w:sz w:val="20"/>
                <w:szCs w:val="20"/>
                <w:lang w:val="uk-UA"/>
              </w:rPr>
              <w:t>(</w:t>
            </w:r>
            <w:r w:rsidR="00D06FA4" w:rsidRPr="00261930">
              <w:rPr>
                <w:sz w:val="20"/>
                <w:szCs w:val="20"/>
                <w:lang w:val="uk-UA"/>
              </w:rPr>
              <w:t>1</w:t>
            </w:r>
            <w:r w:rsidR="00493913" w:rsidRPr="00261930">
              <w:rPr>
                <w:sz w:val="20"/>
                <w:szCs w:val="20"/>
                <w:lang w:val="uk-UA"/>
              </w:rPr>
              <w:t>2</w:t>
            </w:r>
            <w:r w:rsidRPr="00261930">
              <w:rPr>
                <w:sz w:val="20"/>
                <w:szCs w:val="20"/>
                <w:lang w:val="uk-UA"/>
              </w:rPr>
              <w:t>)</w:t>
            </w:r>
          </w:p>
        </w:tc>
      </w:tr>
      <w:tr w:rsidR="00493913" w:rsidRPr="00261930" w14:paraId="6129DCC6" w14:textId="77777777" w:rsidTr="003F4F9C">
        <w:trPr>
          <w:trHeight w:hRule="exact" w:val="312"/>
        </w:trPr>
        <w:tc>
          <w:tcPr>
            <w:tcW w:w="5662" w:type="dxa"/>
            <w:shd w:val="clear" w:color="auto" w:fill="FFFFFF"/>
            <w:hideMark/>
          </w:tcPr>
          <w:p w14:paraId="183DFCEA" w14:textId="73A55F62" w:rsidR="00493913" w:rsidRPr="00261930" w:rsidRDefault="00541317" w:rsidP="00541317">
            <w:pPr>
              <w:pStyle w:val="a8"/>
              <w:numPr>
                <w:ilvl w:val="0"/>
                <w:numId w:val="27"/>
              </w:numPr>
              <w:shd w:val="clear" w:color="auto" w:fill="FFFFFF"/>
              <w:rPr>
                <w:rFonts w:ascii="Times New Roman" w:hAnsi="Times New Roman"/>
                <w:sz w:val="20"/>
                <w:szCs w:val="20"/>
                <w:lang w:val="uk-UA"/>
              </w:rPr>
            </w:pPr>
            <w:r w:rsidRPr="00261930">
              <w:rPr>
                <w:rFonts w:ascii="Times New Roman" w:hAnsi="Times New Roman"/>
                <w:sz w:val="20"/>
                <w:szCs w:val="20"/>
                <w:lang w:val="uk-UA"/>
              </w:rPr>
              <w:t>зобов’язань із податків і зборів</w:t>
            </w:r>
          </w:p>
        </w:tc>
        <w:tc>
          <w:tcPr>
            <w:tcW w:w="851" w:type="dxa"/>
            <w:shd w:val="clear" w:color="auto" w:fill="FFFFFF"/>
          </w:tcPr>
          <w:p w14:paraId="66ADB1E8" w14:textId="77777777" w:rsidR="00493913" w:rsidRPr="00261930" w:rsidRDefault="00493913" w:rsidP="00C87439">
            <w:pPr>
              <w:shd w:val="clear" w:color="auto" w:fill="FFFFFF"/>
              <w:jc w:val="center"/>
              <w:rPr>
                <w:sz w:val="20"/>
                <w:szCs w:val="20"/>
                <w:lang w:val="uk-UA"/>
              </w:rPr>
            </w:pPr>
          </w:p>
        </w:tc>
        <w:tc>
          <w:tcPr>
            <w:tcW w:w="3402" w:type="dxa"/>
            <w:shd w:val="clear" w:color="auto" w:fill="FFFFFF"/>
          </w:tcPr>
          <w:p w14:paraId="1D1C676A" w14:textId="2D7DF6D2" w:rsidR="00493913" w:rsidRPr="00261930" w:rsidRDefault="003F4F9C" w:rsidP="00C87439">
            <w:pPr>
              <w:shd w:val="clear" w:color="auto" w:fill="FFFFFF"/>
              <w:jc w:val="center"/>
              <w:rPr>
                <w:sz w:val="20"/>
                <w:szCs w:val="20"/>
                <w:lang w:val="uk-UA"/>
              </w:rPr>
            </w:pPr>
            <w:r w:rsidRPr="00261930">
              <w:rPr>
                <w:sz w:val="20"/>
                <w:szCs w:val="20"/>
                <w:lang w:val="uk-UA"/>
              </w:rPr>
              <w:t>(</w:t>
            </w:r>
            <w:r w:rsidR="00D06FA4" w:rsidRPr="00261930">
              <w:rPr>
                <w:sz w:val="20"/>
                <w:szCs w:val="20"/>
                <w:lang w:val="uk-UA"/>
              </w:rPr>
              <w:t>11</w:t>
            </w:r>
            <w:r w:rsidRPr="00261930">
              <w:rPr>
                <w:sz w:val="20"/>
                <w:szCs w:val="20"/>
                <w:lang w:val="uk-UA"/>
              </w:rPr>
              <w:t>)</w:t>
            </w:r>
          </w:p>
        </w:tc>
      </w:tr>
      <w:tr w:rsidR="00493913" w:rsidRPr="00261930" w14:paraId="4B3A8C48" w14:textId="77777777" w:rsidTr="003F4F9C">
        <w:trPr>
          <w:trHeight w:hRule="exact" w:val="312"/>
        </w:trPr>
        <w:tc>
          <w:tcPr>
            <w:tcW w:w="5662" w:type="dxa"/>
            <w:shd w:val="clear" w:color="auto" w:fill="FFFFFF"/>
            <w:hideMark/>
          </w:tcPr>
          <w:p w14:paraId="68939C6E" w14:textId="2A3686E2" w:rsidR="00493913" w:rsidRPr="00261930" w:rsidRDefault="00493913" w:rsidP="00C87439">
            <w:pPr>
              <w:shd w:val="clear" w:color="auto" w:fill="FFFFFF"/>
              <w:rPr>
                <w:sz w:val="20"/>
                <w:szCs w:val="20"/>
                <w:lang w:val="uk-UA"/>
              </w:rPr>
            </w:pPr>
            <w:r w:rsidRPr="00261930">
              <w:rPr>
                <w:b/>
                <w:i/>
                <w:sz w:val="20"/>
                <w:szCs w:val="20"/>
                <w:lang w:val="uk-UA"/>
              </w:rPr>
              <w:t>Рух коштів від операційної діяльності</w:t>
            </w:r>
          </w:p>
        </w:tc>
        <w:tc>
          <w:tcPr>
            <w:tcW w:w="851" w:type="dxa"/>
            <w:shd w:val="clear" w:color="auto" w:fill="FFFFFF"/>
          </w:tcPr>
          <w:p w14:paraId="7E061ED1" w14:textId="35AE65A5" w:rsidR="00493913" w:rsidRPr="00261930" w:rsidRDefault="00301C52" w:rsidP="00C87439">
            <w:pPr>
              <w:shd w:val="clear" w:color="auto" w:fill="FFFFFF"/>
              <w:jc w:val="center"/>
              <w:rPr>
                <w:b/>
                <w:i/>
                <w:sz w:val="20"/>
                <w:szCs w:val="20"/>
                <w:lang w:val="uk-UA"/>
              </w:rPr>
            </w:pPr>
            <w:r w:rsidRPr="00261930">
              <w:rPr>
                <w:b/>
                <w:i/>
                <w:sz w:val="20"/>
                <w:szCs w:val="20"/>
                <w:lang w:val="uk-UA"/>
              </w:rPr>
              <w:t>6.11</w:t>
            </w:r>
          </w:p>
        </w:tc>
        <w:tc>
          <w:tcPr>
            <w:tcW w:w="3402" w:type="dxa"/>
            <w:shd w:val="clear" w:color="auto" w:fill="FFFFFF"/>
          </w:tcPr>
          <w:p w14:paraId="01E514B0" w14:textId="3E8EDBC3" w:rsidR="00493913" w:rsidRPr="00261930" w:rsidRDefault="009E298B" w:rsidP="00C87439">
            <w:pPr>
              <w:shd w:val="clear" w:color="auto" w:fill="FFFFFF"/>
              <w:jc w:val="center"/>
              <w:rPr>
                <w:sz w:val="20"/>
                <w:szCs w:val="20"/>
                <w:lang w:val="uk-UA"/>
              </w:rPr>
            </w:pPr>
            <w:r w:rsidRPr="00261930">
              <w:rPr>
                <w:b/>
                <w:i/>
                <w:sz w:val="20"/>
                <w:szCs w:val="20"/>
                <w:lang w:val="uk-UA"/>
              </w:rPr>
              <w:t>(36)</w:t>
            </w:r>
          </w:p>
        </w:tc>
      </w:tr>
      <w:tr w:rsidR="00493913" w:rsidRPr="00261930" w14:paraId="55191A70" w14:textId="77777777" w:rsidTr="003F4F9C">
        <w:trPr>
          <w:trHeight w:hRule="exact" w:val="312"/>
        </w:trPr>
        <w:tc>
          <w:tcPr>
            <w:tcW w:w="5662" w:type="dxa"/>
            <w:shd w:val="clear" w:color="auto" w:fill="FFFFFF"/>
            <w:hideMark/>
          </w:tcPr>
          <w:p w14:paraId="202476B5" w14:textId="3526BD3F" w:rsidR="00493913" w:rsidRPr="00261930" w:rsidRDefault="00101B9C" w:rsidP="00C87439">
            <w:pPr>
              <w:shd w:val="clear" w:color="auto" w:fill="FFFFFF"/>
              <w:rPr>
                <w:sz w:val="20"/>
                <w:szCs w:val="20"/>
                <w:lang w:val="uk-UA"/>
              </w:rPr>
            </w:pPr>
            <w:r w:rsidRPr="00261930">
              <w:rPr>
                <w:sz w:val="20"/>
                <w:szCs w:val="20"/>
                <w:lang w:val="uk-UA"/>
              </w:rPr>
              <w:t>Надходження від отриманих:</w:t>
            </w:r>
          </w:p>
        </w:tc>
        <w:tc>
          <w:tcPr>
            <w:tcW w:w="851" w:type="dxa"/>
            <w:shd w:val="clear" w:color="auto" w:fill="FFFFFF"/>
          </w:tcPr>
          <w:p w14:paraId="3C25E5BB" w14:textId="77777777" w:rsidR="00493913" w:rsidRPr="00261930" w:rsidRDefault="00493913" w:rsidP="00C87439">
            <w:pPr>
              <w:shd w:val="clear" w:color="auto" w:fill="FFFFFF"/>
              <w:jc w:val="center"/>
              <w:rPr>
                <w:sz w:val="20"/>
                <w:szCs w:val="20"/>
                <w:lang w:val="uk-UA"/>
              </w:rPr>
            </w:pPr>
          </w:p>
        </w:tc>
        <w:tc>
          <w:tcPr>
            <w:tcW w:w="3402" w:type="dxa"/>
            <w:shd w:val="clear" w:color="auto" w:fill="FFFFFF"/>
          </w:tcPr>
          <w:p w14:paraId="31EABB59" w14:textId="78015EF1" w:rsidR="00493913" w:rsidRPr="00261930" w:rsidRDefault="00493913" w:rsidP="00C87439">
            <w:pPr>
              <w:shd w:val="clear" w:color="auto" w:fill="FFFFFF"/>
              <w:jc w:val="center"/>
              <w:rPr>
                <w:color w:val="FF0000"/>
                <w:sz w:val="20"/>
                <w:szCs w:val="20"/>
                <w:lang w:val="uk-UA"/>
              </w:rPr>
            </w:pPr>
          </w:p>
        </w:tc>
      </w:tr>
      <w:tr w:rsidR="00A001EE" w:rsidRPr="00261930" w14:paraId="3E09C4DC" w14:textId="77777777" w:rsidTr="003F4F9C">
        <w:trPr>
          <w:trHeight w:hRule="exact" w:val="312"/>
        </w:trPr>
        <w:tc>
          <w:tcPr>
            <w:tcW w:w="5662" w:type="dxa"/>
            <w:shd w:val="clear" w:color="auto" w:fill="FFFFFF"/>
          </w:tcPr>
          <w:p w14:paraId="36E8515D" w14:textId="374F7ED3" w:rsidR="00A001EE" w:rsidRPr="00261930" w:rsidRDefault="00101B9C" w:rsidP="00101B9C">
            <w:pPr>
              <w:pStyle w:val="a8"/>
              <w:numPr>
                <w:ilvl w:val="0"/>
                <w:numId w:val="27"/>
              </w:numPr>
              <w:shd w:val="clear" w:color="auto" w:fill="FFFFFF"/>
              <w:rPr>
                <w:rFonts w:ascii="Times New Roman" w:hAnsi="Times New Roman"/>
                <w:i/>
                <w:iCs/>
                <w:sz w:val="20"/>
                <w:szCs w:val="20"/>
                <w:lang w:val="uk-UA"/>
              </w:rPr>
            </w:pPr>
            <w:r w:rsidRPr="00261930">
              <w:rPr>
                <w:rFonts w:ascii="Times New Roman" w:hAnsi="Times New Roman"/>
                <w:i/>
                <w:iCs/>
                <w:sz w:val="20"/>
                <w:szCs w:val="20"/>
                <w:lang w:val="uk-UA"/>
              </w:rPr>
              <w:t>відсотків</w:t>
            </w:r>
          </w:p>
        </w:tc>
        <w:tc>
          <w:tcPr>
            <w:tcW w:w="851" w:type="dxa"/>
            <w:shd w:val="clear" w:color="auto" w:fill="FFFFFF"/>
          </w:tcPr>
          <w:p w14:paraId="098637C0" w14:textId="77777777" w:rsidR="00A001EE" w:rsidRPr="00261930" w:rsidRDefault="00A001EE" w:rsidP="00C87439">
            <w:pPr>
              <w:shd w:val="clear" w:color="auto" w:fill="FFFFFF"/>
              <w:jc w:val="center"/>
              <w:rPr>
                <w:sz w:val="20"/>
                <w:szCs w:val="20"/>
                <w:lang w:val="uk-UA"/>
              </w:rPr>
            </w:pPr>
          </w:p>
        </w:tc>
        <w:tc>
          <w:tcPr>
            <w:tcW w:w="3402" w:type="dxa"/>
            <w:shd w:val="clear" w:color="auto" w:fill="FFFFFF"/>
          </w:tcPr>
          <w:p w14:paraId="7D1587DB" w14:textId="5E2D5D47" w:rsidR="00A001EE" w:rsidRPr="00261930" w:rsidRDefault="00A13B46" w:rsidP="00C87439">
            <w:pPr>
              <w:shd w:val="clear" w:color="auto" w:fill="FFFFFF"/>
              <w:jc w:val="center"/>
              <w:rPr>
                <w:sz w:val="20"/>
                <w:szCs w:val="20"/>
                <w:lang w:val="uk-UA"/>
              </w:rPr>
            </w:pPr>
            <w:r w:rsidRPr="00261930">
              <w:rPr>
                <w:sz w:val="20"/>
                <w:szCs w:val="20"/>
                <w:lang w:val="uk-UA"/>
              </w:rPr>
              <w:t>69</w:t>
            </w:r>
          </w:p>
        </w:tc>
      </w:tr>
      <w:tr w:rsidR="00A001EE" w:rsidRPr="00261930" w14:paraId="3B569BDC" w14:textId="77777777" w:rsidTr="003F4F9C">
        <w:trPr>
          <w:trHeight w:hRule="exact" w:val="312"/>
        </w:trPr>
        <w:tc>
          <w:tcPr>
            <w:tcW w:w="5662" w:type="dxa"/>
            <w:shd w:val="clear" w:color="auto" w:fill="FFFFFF"/>
            <w:hideMark/>
          </w:tcPr>
          <w:p w14:paraId="3F181520" w14:textId="418857A1" w:rsidR="00A001EE" w:rsidRPr="00261930" w:rsidRDefault="00A001EE" w:rsidP="00C87439">
            <w:pPr>
              <w:shd w:val="clear" w:color="auto" w:fill="FFFFFF"/>
              <w:rPr>
                <w:sz w:val="20"/>
                <w:szCs w:val="20"/>
                <w:lang w:val="uk-UA"/>
              </w:rPr>
            </w:pPr>
            <w:r w:rsidRPr="00261930">
              <w:rPr>
                <w:b/>
                <w:i/>
                <w:sz w:val="20"/>
                <w:szCs w:val="20"/>
                <w:lang w:val="uk-UA"/>
              </w:rPr>
              <w:t xml:space="preserve">Рух коштів від інвестиційної діяльності </w:t>
            </w:r>
          </w:p>
        </w:tc>
        <w:tc>
          <w:tcPr>
            <w:tcW w:w="851" w:type="dxa"/>
            <w:shd w:val="clear" w:color="auto" w:fill="FFFFFF"/>
          </w:tcPr>
          <w:p w14:paraId="5CD5AD9F" w14:textId="2696A391" w:rsidR="00A001EE" w:rsidRPr="00261930" w:rsidRDefault="00A001EE" w:rsidP="00C87439">
            <w:pPr>
              <w:shd w:val="clear" w:color="auto" w:fill="FFFFFF"/>
              <w:jc w:val="center"/>
              <w:rPr>
                <w:sz w:val="20"/>
                <w:szCs w:val="20"/>
                <w:lang w:val="uk-UA"/>
              </w:rPr>
            </w:pPr>
            <w:r w:rsidRPr="00261930">
              <w:rPr>
                <w:b/>
                <w:i/>
                <w:sz w:val="20"/>
                <w:szCs w:val="20"/>
                <w:lang w:val="uk-UA"/>
              </w:rPr>
              <w:t>6.11</w:t>
            </w:r>
          </w:p>
        </w:tc>
        <w:tc>
          <w:tcPr>
            <w:tcW w:w="3402" w:type="dxa"/>
            <w:shd w:val="clear" w:color="auto" w:fill="FFFFFF"/>
          </w:tcPr>
          <w:p w14:paraId="19EF4FAF" w14:textId="5AB2BEEC" w:rsidR="00A001EE" w:rsidRPr="00261930" w:rsidRDefault="00A13B46" w:rsidP="00C87439">
            <w:pPr>
              <w:shd w:val="clear" w:color="auto" w:fill="FFFFFF"/>
              <w:jc w:val="center"/>
              <w:rPr>
                <w:sz w:val="20"/>
                <w:szCs w:val="20"/>
                <w:lang w:val="uk-UA"/>
              </w:rPr>
            </w:pPr>
            <w:r w:rsidRPr="00261930">
              <w:rPr>
                <w:b/>
                <w:i/>
                <w:sz w:val="20"/>
                <w:szCs w:val="20"/>
                <w:lang w:val="uk-UA"/>
              </w:rPr>
              <w:t>69</w:t>
            </w:r>
          </w:p>
        </w:tc>
      </w:tr>
      <w:tr w:rsidR="00A001EE" w:rsidRPr="00261930" w14:paraId="2479873D" w14:textId="77777777" w:rsidTr="003F4F9C">
        <w:trPr>
          <w:trHeight w:hRule="exact" w:val="312"/>
        </w:trPr>
        <w:tc>
          <w:tcPr>
            <w:tcW w:w="5662" w:type="dxa"/>
            <w:shd w:val="clear" w:color="auto" w:fill="FFFFFF"/>
            <w:hideMark/>
          </w:tcPr>
          <w:p w14:paraId="631D53FF" w14:textId="4F39C144" w:rsidR="00A001EE" w:rsidRPr="00261930" w:rsidRDefault="00A001EE" w:rsidP="00C87439">
            <w:pPr>
              <w:shd w:val="clear" w:color="auto" w:fill="FFFFFF"/>
              <w:rPr>
                <w:sz w:val="20"/>
                <w:szCs w:val="20"/>
                <w:highlight w:val="yellow"/>
                <w:lang w:val="uk-UA"/>
              </w:rPr>
            </w:pPr>
            <w:r w:rsidRPr="00261930">
              <w:rPr>
                <w:sz w:val="20"/>
                <w:szCs w:val="20"/>
                <w:lang w:val="uk-UA"/>
              </w:rPr>
              <w:t>Чистий рух коштів за період</w:t>
            </w:r>
          </w:p>
        </w:tc>
        <w:tc>
          <w:tcPr>
            <w:tcW w:w="851" w:type="dxa"/>
            <w:shd w:val="clear" w:color="auto" w:fill="FFFFFF"/>
          </w:tcPr>
          <w:p w14:paraId="21C074D6" w14:textId="75B838EC" w:rsidR="00A001EE" w:rsidRPr="00261930" w:rsidRDefault="00A001EE" w:rsidP="00C87439">
            <w:pPr>
              <w:shd w:val="clear" w:color="auto" w:fill="FFFFFF"/>
              <w:jc w:val="center"/>
              <w:rPr>
                <w:b/>
                <w:i/>
                <w:sz w:val="20"/>
                <w:szCs w:val="20"/>
                <w:lang w:val="uk-UA"/>
              </w:rPr>
            </w:pPr>
          </w:p>
        </w:tc>
        <w:tc>
          <w:tcPr>
            <w:tcW w:w="3402" w:type="dxa"/>
            <w:shd w:val="clear" w:color="auto" w:fill="FFFFFF"/>
          </w:tcPr>
          <w:p w14:paraId="772C55F8" w14:textId="55D23DB8" w:rsidR="00A001EE" w:rsidRPr="00261930" w:rsidRDefault="00EE3779" w:rsidP="00C87439">
            <w:pPr>
              <w:shd w:val="clear" w:color="auto" w:fill="FFFFFF"/>
              <w:jc w:val="center"/>
              <w:rPr>
                <w:sz w:val="20"/>
                <w:szCs w:val="20"/>
                <w:highlight w:val="yellow"/>
                <w:lang w:val="uk-UA"/>
              </w:rPr>
            </w:pPr>
            <w:r w:rsidRPr="00261930">
              <w:rPr>
                <w:sz w:val="20"/>
                <w:szCs w:val="20"/>
                <w:lang w:val="uk-UA"/>
              </w:rPr>
              <w:t>33</w:t>
            </w:r>
          </w:p>
        </w:tc>
      </w:tr>
      <w:tr w:rsidR="00A001EE" w:rsidRPr="00261930" w14:paraId="7E843998" w14:textId="77777777" w:rsidTr="003F4F9C">
        <w:trPr>
          <w:trHeight w:hRule="exact" w:val="312"/>
        </w:trPr>
        <w:tc>
          <w:tcPr>
            <w:tcW w:w="5662" w:type="dxa"/>
            <w:tcBorders>
              <w:bottom w:val="single" w:sz="6" w:space="0" w:color="auto"/>
            </w:tcBorders>
            <w:shd w:val="clear" w:color="auto" w:fill="FFFFFF"/>
            <w:hideMark/>
          </w:tcPr>
          <w:p w14:paraId="65460374" w14:textId="70C58590" w:rsidR="00A001EE" w:rsidRPr="008D1B3A" w:rsidRDefault="00A001EE" w:rsidP="00C87439">
            <w:pPr>
              <w:shd w:val="clear" w:color="auto" w:fill="FFFFFF"/>
              <w:rPr>
                <w:b/>
                <w:bCs/>
                <w:i/>
                <w:iCs/>
                <w:sz w:val="20"/>
                <w:szCs w:val="20"/>
                <w:lang w:val="uk-UA"/>
              </w:rPr>
            </w:pPr>
            <w:r w:rsidRPr="008D1B3A">
              <w:rPr>
                <w:b/>
                <w:bCs/>
                <w:i/>
                <w:iCs/>
                <w:sz w:val="20"/>
                <w:szCs w:val="20"/>
                <w:lang w:val="uk-UA"/>
              </w:rPr>
              <w:t>Залишок коштів на початок року</w:t>
            </w:r>
          </w:p>
        </w:tc>
        <w:tc>
          <w:tcPr>
            <w:tcW w:w="851" w:type="dxa"/>
            <w:tcBorders>
              <w:bottom w:val="single" w:sz="6" w:space="0" w:color="auto"/>
            </w:tcBorders>
            <w:shd w:val="clear" w:color="auto" w:fill="FFFFFF"/>
          </w:tcPr>
          <w:p w14:paraId="6F3966B5" w14:textId="77777777" w:rsidR="00A001EE" w:rsidRPr="008D1B3A" w:rsidRDefault="00A001EE" w:rsidP="00C87439">
            <w:pPr>
              <w:shd w:val="clear" w:color="auto" w:fill="FFFFFF"/>
              <w:jc w:val="center"/>
              <w:rPr>
                <w:b/>
                <w:bCs/>
                <w:i/>
                <w:iCs/>
                <w:sz w:val="20"/>
                <w:szCs w:val="20"/>
                <w:lang w:val="uk-UA"/>
              </w:rPr>
            </w:pPr>
          </w:p>
        </w:tc>
        <w:tc>
          <w:tcPr>
            <w:tcW w:w="3402" w:type="dxa"/>
            <w:tcBorders>
              <w:bottom w:val="single" w:sz="6" w:space="0" w:color="auto"/>
            </w:tcBorders>
            <w:shd w:val="clear" w:color="auto" w:fill="FFFFFF"/>
          </w:tcPr>
          <w:p w14:paraId="49FF603E" w14:textId="500D7C25" w:rsidR="00A001EE" w:rsidRPr="008D1B3A" w:rsidRDefault="00EE3779" w:rsidP="00C87439">
            <w:pPr>
              <w:shd w:val="clear" w:color="auto" w:fill="FFFFFF"/>
              <w:jc w:val="center"/>
              <w:rPr>
                <w:b/>
                <w:bCs/>
                <w:i/>
                <w:iCs/>
                <w:sz w:val="20"/>
                <w:szCs w:val="20"/>
                <w:lang w:val="uk-UA"/>
              </w:rPr>
            </w:pPr>
            <w:r w:rsidRPr="008D1B3A">
              <w:rPr>
                <w:b/>
                <w:bCs/>
                <w:i/>
                <w:iCs/>
                <w:sz w:val="20"/>
                <w:szCs w:val="20"/>
                <w:lang w:val="uk-UA"/>
              </w:rPr>
              <w:t>115</w:t>
            </w:r>
          </w:p>
        </w:tc>
      </w:tr>
      <w:tr w:rsidR="00EE3779" w:rsidRPr="00261930" w14:paraId="27A34194" w14:textId="77777777" w:rsidTr="003F4F9C">
        <w:trPr>
          <w:trHeight w:hRule="exact" w:val="312"/>
        </w:trPr>
        <w:tc>
          <w:tcPr>
            <w:tcW w:w="5662" w:type="dxa"/>
            <w:tcBorders>
              <w:bottom w:val="single" w:sz="4" w:space="0" w:color="auto"/>
            </w:tcBorders>
            <w:shd w:val="clear" w:color="auto" w:fill="FFFFFF"/>
          </w:tcPr>
          <w:p w14:paraId="1B5A8CD0" w14:textId="68752F43" w:rsidR="00EE3779" w:rsidRPr="008D1B3A" w:rsidRDefault="001D5462" w:rsidP="00C87439">
            <w:pPr>
              <w:shd w:val="clear" w:color="auto" w:fill="FFFFFF"/>
              <w:rPr>
                <w:b/>
                <w:bCs/>
                <w:i/>
                <w:iCs/>
                <w:sz w:val="20"/>
                <w:szCs w:val="20"/>
                <w:lang w:val="uk-UA"/>
              </w:rPr>
            </w:pPr>
            <w:r w:rsidRPr="008D1B3A">
              <w:rPr>
                <w:b/>
                <w:bCs/>
                <w:i/>
                <w:iCs/>
                <w:sz w:val="20"/>
                <w:szCs w:val="20"/>
                <w:lang w:val="uk-UA"/>
              </w:rPr>
              <w:t>Вплив зміни валютних курсів на залишок коштів</w:t>
            </w:r>
          </w:p>
        </w:tc>
        <w:tc>
          <w:tcPr>
            <w:tcW w:w="851" w:type="dxa"/>
            <w:tcBorders>
              <w:bottom w:val="single" w:sz="4" w:space="0" w:color="auto"/>
            </w:tcBorders>
            <w:shd w:val="clear" w:color="auto" w:fill="FFFFFF"/>
          </w:tcPr>
          <w:p w14:paraId="7BD8D27D" w14:textId="77777777" w:rsidR="00EE3779" w:rsidRPr="008D1B3A" w:rsidRDefault="00EE3779" w:rsidP="00C87439">
            <w:pPr>
              <w:shd w:val="clear" w:color="auto" w:fill="FFFFFF"/>
              <w:jc w:val="center"/>
              <w:rPr>
                <w:i/>
                <w:iCs/>
                <w:sz w:val="20"/>
                <w:szCs w:val="20"/>
                <w:lang w:val="uk-UA"/>
              </w:rPr>
            </w:pPr>
          </w:p>
        </w:tc>
        <w:tc>
          <w:tcPr>
            <w:tcW w:w="3402" w:type="dxa"/>
            <w:tcBorders>
              <w:bottom w:val="single" w:sz="4" w:space="0" w:color="auto"/>
            </w:tcBorders>
            <w:shd w:val="clear" w:color="auto" w:fill="FFFFFF"/>
          </w:tcPr>
          <w:p w14:paraId="480FF7D3" w14:textId="1FFEBEAB" w:rsidR="00EE3779" w:rsidRPr="008D1B3A" w:rsidRDefault="001D5462" w:rsidP="00C87439">
            <w:pPr>
              <w:shd w:val="clear" w:color="auto" w:fill="FFFFFF"/>
              <w:jc w:val="center"/>
              <w:rPr>
                <w:b/>
                <w:bCs/>
                <w:i/>
                <w:iCs/>
                <w:sz w:val="20"/>
                <w:szCs w:val="20"/>
                <w:lang w:val="uk-UA"/>
              </w:rPr>
            </w:pPr>
            <w:r w:rsidRPr="008D1B3A">
              <w:rPr>
                <w:b/>
                <w:bCs/>
                <w:i/>
                <w:iCs/>
                <w:sz w:val="20"/>
                <w:szCs w:val="20"/>
                <w:lang w:val="uk-UA"/>
              </w:rPr>
              <w:t>(1)</w:t>
            </w:r>
          </w:p>
        </w:tc>
      </w:tr>
      <w:tr w:rsidR="00A001EE" w:rsidRPr="00261930" w14:paraId="013457FE" w14:textId="77777777" w:rsidTr="003F4F9C">
        <w:trPr>
          <w:trHeight w:hRule="exact" w:val="312"/>
        </w:trPr>
        <w:tc>
          <w:tcPr>
            <w:tcW w:w="5662" w:type="dxa"/>
            <w:tcBorders>
              <w:bottom w:val="single" w:sz="4" w:space="0" w:color="auto"/>
            </w:tcBorders>
            <w:shd w:val="clear" w:color="auto" w:fill="FFFFFF"/>
            <w:hideMark/>
          </w:tcPr>
          <w:p w14:paraId="31A26665" w14:textId="76E5AC3F" w:rsidR="00A001EE" w:rsidRPr="008D1B3A" w:rsidRDefault="00A001EE" w:rsidP="00C87439">
            <w:pPr>
              <w:shd w:val="clear" w:color="auto" w:fill="FFFFFF"/>
              <w:rPr>
                <w:i/>
                <w:iCs/>
                <w:sz w:val="20"/>
                <w:szCs w:val="20"/>
                <w:lang w:val="uk-UA"/>
              </w:rPr>
            </w:pPr>
            <w:r w:rsidRPr="008D1B3A">
              <w:rPr>
                <w:b/>
                <w:bCs/>
                <w:i/>
                <w:iCs/>
                <w:sz w:val="20"/>
                <w:szCs w:val="20"/>
                <w:lang w:val="uk-UA"/>
              </w:rPr>
              <w:t>Залишок коштів на кінець періоду</w:t>
            </w:r>
          </w:p>
        </w:tc>
        <w:tc>
          <w:tcPr>
            <w:tcW w:w="851" w:type="dxa"/>
            <w:tcBorders>
              <w:bottom w:val="single" w:sz="4" w:space="0" w:color="auto"/>
            </w:tcBorders>
            <w:shd w:val="clear" w:color="auto" w:fill="FFFFFF"/>
          </w:tcPr>
          <w:p w14:paraId="489F3F55" w14:textId="77777777" w:rsidR="00A001EE" w:rsidRPr="008D1B3A" w:rsidRDefault="00A001EE" w:rsidP="00C87439">
            <w:pPr>
              <w:shd w:val="clear" w:color="auto" w:fill="FFFFFF"/>
              <w:jc w:val="center"/>
              <w:rPr>
                <w:i/>
                <w:iCs/>
                <w:sz w:val="20"/>
                <w:szCs w:val="20"/>
                <w:lang w:val="uk-UA"/>
              </w:rPr>
            </w:pPr>
          </w:p>
        </w:tc>
        <w:tc>
          <w:tcPr>
            <w:tcW w:w="3402" w:type="dxa"/>
            <w:tcBorders>
              <w:bottom w:val="single" w:sz="4" w:space="0" w:color="auto"/>
            </w:tcBorders>
            <w:shd w:val="clear" w:color="auto" w:fill="FFFFFF"/>
          </w:tcPr>
          <w:p w14:paraId="3E3EF301" w14:textId="4CF3C466" w:rsidR="00A001EE" w:rsidRPr="008D1B3A" w:rsidRDefault="001D5462" w:rsidP="00C87439">
            <w:pPr>
              <w:shd w:val="clear" w:color="auto" w:fill="FFFFFF"/>
              <w:jc w:val="center"/>
              <w:rPr>
                <w:i/>
                <w:iCs/>
                <w:sz w:val="20"/>
                <w:szCs w:val="20"/>
                <w:lang w:val="uk-UA"/>
              </w:rPr>
            </w:pPr>
            <w:r w:rsidRPr="008D1B3A">
              <w:rPr>
                <w:b/>
                <w:bCs/>
                <w:i/>
                <w:iCs/>
                <w:sz w:val="20"/>
                <w:szCs w:val="20"/>
                <w:lang w:val="uk-UA"/>
              </w:rPr>
              <w:t>147</w:t>
            </w:r>
          </w:p>
        </w:tc>
      </w:tr>
    </w:tbl>
    <w:p w14:paraId="6F7A0A63" w14:textId="77777777" w:rsidR="001F07B6" w:rsidRPr="000E05A8" w:rsidRDefault="001F07B6" w:rsidP="00A46121">
      <w:pPr>
        <w:rPr>
          <w:b/>
          <w:bCs/>
          <w:i/>
          <w:sz w:val="22"/>
          <w:szCs w:val="22"/>
          <w:lang w:val="en-US"/>
        </w:rPr>
      </w:pPr>
    </w:p>
    <w:p w14:paraId="1D8A0F32" w14:textId="6CAD639C" w:rsidR="00A46121" w:rsidRPr="000E05A8" w:rsidRDefault="00A46121" w:rsidP="00A46121">
      <w:pPr>
        <w:rPr>
          <w:i/>
          <w:sz w:val="22"/>
          <w:szCs w:val="22"/>
          <w:lang w:val="uk-UA"/>
        </w:rPr>
      </w:pPr>
      <w:r w:rsidRPr="000E05A8">
        <w:rPr>
          <w:i/>
          <w:sz w:val="22"/>
          <w:szCs w:val="22"/>
          <w:lang w:val="uk-UA"/>
        </w:rPr>
        <w:t xml:space="preserve">Затверджено до випуску та підписано </w:t>
      </w:r>
      <w:r w:rsidR="00980979" w:rsidRPr="000E05A8">
        <w:rPr>
          <w:i/>
          <w:sz w:val="22"/>
          <w:szCs w:val="22"/>
          <w:lang w:val="uk-UA"/>
        </w:rPr>
        <w:t>“05» квітня 2021 р.</w:t>
      </w:r>
    </w:p>
    <w:p w14:paraId="0E730240" w14:textId="77777777" w:rsidR="00C90C93" w:rsidRPr="000E05A8" w:rsidRDefault="00C90C93" w:rsidP="00794809">
      <w:pPr>
        <w:shd w:val="clear" w:color="auto" w:fill="FFFFFF"/>
        <w:ind w:firstLine="709"/>
        <w:jc w:val="both"/>
        <w:outlineLvl w:val="0"/>
        <w:rPr>
          <w:b/>
          <w:bCs/>
          <w:spacing w:val="-2"/>
          <w:sz w:val="22"/>
          <w:szCs w:val="22"/>
          <w:lang w:val="uk-UA"/>
        </w:rPr>
      </w:pPr>
    </w:p>
    <w:p w14:paraId="47CF30CE" w14:textId="1D4BBFAF"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 xml:space="preserve">6.1. </w:t>
      </w:r>
      <w:r w:rsidR="00773AE7" w:rsidRPr="000E05A8">
        <w:rPr>
          <w:b/>
          <w:bCs/>
          <w:i/>
          <w:spacing w:val="-2"/>
          <w:sz w:val="22"/>
          <w:szCs w:val="22"/>
          <w:lang w:val="uk-UA"/>
        </w:rPr>
        <w:t>Чистий дохід від реалізації послуг</w:t>
      </w:r>
      <w:r w:rsidR="00994FA8" w:rsidRPr="000E05A8">
        <w:rPr>
          <w:b/>
          <w:bCs/>
          <w:i/>
          <w:spacing w:val="-2"/>
          <w:sz w:val="22"/>
          <w:szCs w:val="22"/>
          <w:lang w:val="uk-UA"/>
        </w:rPr>
        <w:t>, інші доходи</w:t>
      </w:r>
    </w:p>
    <w:p w14:paraId="09766A18" w14:textId="62C9368E" w:rsidR="00FA56BD" w:rsidRPr="000E05A8" w:rsidRDefault="0078195F" w:rsidP="00FA56BD">
      <w:pPr>
        <w:autoSpaceDE w:val="0"/>
        <w:autoSpaceDN w:val="0"/>
        <w:adjustRightInd w:val="0"/>
        <w:ind w:firstLine="567"/>
        <w:jc w:val="both"/>
        <w:rPr>
          <w:sz w:val="22"/>
          <w:szCs w:val="22"/>
          <w:lang w:val="uk-UA"/>
        </w:rPr>
      </w:pPr>
      <w:r w:rsidRPr="000E05A8">
        <w:rPr>
          <w:sz w:val="22"/>
          <w:szCs w:val="22"/>
          <w:lang w:val="uk-UA"/>
        </w:rPr>
        <w:t>З 01 січня 2021 року по 31 березня 2021 року</w:t>
      </w:r>
      <w:r w:rsidR="00FA56BD" w:rsidRPr="000E05A8">
        <w:rPr>
          <w:sz w:val="22"/>
          <w:szCs w:val="22"/>
          <w:lang w:val="uk-UA"/>
        </w:rPr>
        <w:t xml:space="preserve"> Товариство отримало дохід у розмірі </w:t>
      </w:r>
      <w:r w:rsidR="00EE062F" w:rsidRPr="000E05A8">
        <w:rPr>
          <w:sz w:val="22"/>
          <w:szCs w:val="22"/>
        </w:rPr>
        <w:t>58</w:t>
      </w:r>
      <w:r w:rsidR="00FA56BD" w:rsidRPr="000E05A8">
        <w:rPr>
          <w:sz w:val="22"/>
          <w:szCs w:val="22"/>
          <w:lang w:val="uk-UA"/>
        </w:rPr>
        <w:t xml:space="preserve">  тис. грн. від </w:t>
      </w:r>
      <w:r w:rsidR="003E5793" w:rsidRPr="000E05A8">
        <w:rPr>
          <w:sz w:val="22"/>
          <w:szCs w:val="22"/>
          <w:lang w:val="uk-UA"/>
        </w:rPr>
        <w:t>управління активами інституційних інвесторів</w:t>
      </w:r>
      <w:r w:rsidRPr="000E05A8">
        <w:rPr>
          <w:sz w:val="22"/>
          <w:szCs w:val="22"/>
          <w:lang w:val="uk-UA"/>
        </w:rPr>
        <w:t>.</w:t>
      </w:r>
    </w:p>
    <w:p w14:paraId="5C3EC558" w14:textId="3AD9B2A8" w:rsidR="00BA67F1" w:rsidRPr="000E05A8" w:rsidRDefault="00994FA8" w:rsidP="00FA56BD">
      <w:pPr>
        <w:autoSpaceDE w:val="0"/>
        <w:autoSpaceDN w:val="0"/>
        <w:adjustRightInd w:val="0"/>
        <w:ind w:firstLine="567"/>
        <w:jc w:val="both"/>
        <w:rPr>
          <w:sz w:val="22"/>
          <w:szCs w:val="22"/>
          <w:lang w:val="uk-UA"/>
        </w:rPr>
      </w:pPr>
      <w:r w:rsidRPr="000E05A8">
        <w:rPr>
          <w:b/>
          <w:bCs/>
          <w:i/>
          <w:iCs/>
          <w:sz w:val="22"/>
          <w:szCs w:val="22"/>
          <w:lang w:val="uk-UA"/>
        </w:rPr>
        <w:t>Інші фінансові доходи</w:t>
      </w:r>
      <w:r w:rsidR="00A637DD" w:rsidRPr="000E05A8">
        <w:rPr>
          <w:b/>
          <w:bCs/>
          <w:i/>
          <w:iCs/>
          <w:sz w:val="22"/>
          <w:szCs w:val="22"/>
          <w:lang w:val="uk-UA"/>
        </w:rPr>
        <w:t xml:space="preserve"> </w:t>
      </w:r>
      <w:r w:rsidR="00671C77" w:rsidRPr="000E05A8">
        <w:rPr>
          <w:b/>
          <w:bCs/>
          <w:i/>
          <w:iCs/>
          <w:sz w:val="22"/>
          <w:szCs w:val="22"/>
          <w:lang w:val="uk-UA"/>
        </w:rPr>
        <w:t xml:space="preserve">складаються з </w:t>
      </w:r>
      <w:r w:rsidR="00B704A2" w:rsidRPr="000E05A8">
        <w:rPr>
          <w:spacing w:val="-2"/>
          <w:sz w:val="22"/>
          <w:szCs w:val="22"/>
          <w:lang w:val="uk-UA"/>
        </w:rPr>
        <w:t>нарахованого купонного дох</w:t>
      </w:r>
      <w:r w:rsidR="00927030" w:rsidRPr="000E05A8">
        <w:rPr>
          <w:spacing w:val="-2"/>
          <w:sz w:val="22"/>
          <w:szCs w:val="22"/>
          <w:lang w:val="uk-UA"/>
        </w:rPr>
        <w:t>о</w:t>
      </w:r>
      <w:r w:rsidR="00B704A2" w:rsidRPr="000E05A8">
        <w:rPr>
          <w:spacing w:val="-2"/>
          <w:sz w:val="22"/>
          <w:szCs w:val="22"/>
          <w:lang w:val="uk-UA"/>
        </w:rPr>
        <w:t>ду по облігаціях XS1303926528</w:t>
      </w:r>
      <w:r w:rsidR="00671C77" w:rsidRPr="000E05A8">
        <w:rPr>
          <w:b/>
          <w:bCs/>
          <w:i/>
          <w:iCs/>
          <w:sz w:val="22"/>
          <w:szCs w:val="22"/>
          <w:lang w:val="uk-UA"/>
        </w:rPr>
        <w:t xml:space="preserve"> </w:t>
      </w:r>
      <w:r w:rsidR="00B704A2" w:rsidRPr="000E05A8">
        <w:rPr>
          <w:sz w:val="22"/>
          <w:szCs w:val="22"/>
          <w:lang w:val="uk-UA"/>
        </w:rPr>
        <w:t xml:space="preserve">та </w:t>
      </w:r>
      <w:r w:rsidR="00927030" w:rsidRPr="000E05A8">
        <w:rPr>
          <w:sz w:val="22"/>
          <w:szCs w:val="22"/>
          <w:lang w:val="uk-UA"/>
        </w:rPr>
        <w:t>нарахованого відсотку на залишок на грошовому рахунку.</w:t>
      </w:r>
    </w:p>
    <w:p w14:paraId="1E7B31C6" w14:textId="77777777" w:rsidR="00752554" w:rsidRPr="000E05A8" w:rsidRDefault="00752554" w:rsidP="00794809">
      <w:pPr>
        <w:shd w:val="clear" w:color="auto" w:fill="FFFFFF"/>
        <w:ind w:firstLine="709"/>
        <w:jc w:val="both"/>
        <w:outlineLvl w:val="0"/>
        <w:rPr>
          <w:b/>
          <w:bCs/>
          <w:spacing w:val="-2"/>
          <w:sz w:val="22"/>
          <w:szCs w:val="22"/>
          <w:lang w:val="uk-UA"/>
        </w:rPr>
      </w:pPr>
      <w:bookmarkStart w:id="3" w:name="bookmark17"/>
    </w:p>
    <w:p w14:paraId="309004E3" w14:textId="22FCD2D1" w:rsidR="00752554" w:rsidRPr="000E05A8" w:rsidRDefault="00752554" w:rsidP="00794809">
      <w:pPr>
        <w:shd w:val="clear" w:color="auto" w:fill="FFFFFF"/>
        <w:ind w:firstLine="709"/>
        <w:jc w:val="both"/>
        <w:outlineLvl w:val="0"/>
        <w:rPr>
          <w:b/>
          <w:bCs/>
          <w:i/>
          <w:spacing w:val="-2"/>
          <w:sz w:val="22"/>
          <w:szCs w:val="22"/>
          <w:lang w:val="uk-UA"/>
        </w:rPr>
      </w:pPr>
      <w:bookmarkStart w:id="4" w:name="bookmark18"/>
      <w:bookmarkEnd w:id="3"/>
      <w:r w:rsidRPr="000E05A8">
        <w:rPr>
          <w:b/>
          <w:bCs/>
          <w:i/>
          <w:spacing w:val="-2"/>
          <w:sz w:val="22"/>
          <w:szCs w:val="22"/>
          <w:lang w:val="uk-UA"/>
        </w:rPr>
        <w:t>6.</w:t>
      </w:r>
      <w:r w:rsidR="007826E7" w:rsidRPr="000E05A8">
        <w:rPr>
          <w:b/>
          <w:bCs/>
          <w:i/>
          <w:spacing w:val="-2"/>
          <w:sz w:val="22"/>
          <w:szCs w:val="22"/>
          <w:lang w:val="uk-UA"/>
        </w:rPr>
        <w:t>2</w:t>
      </w:r>
      <w:r w:rsidRPr="000E05A8">
        <w:rPr>
          <w:b/>
          <w:bCs/>
          <w:i/>
          <w:spacing w:val="-2"/>
          <w:sz w:val="22"/>
          <w:szCs w:val="22"/>
          <w:lang w:val="uk-UA"/>
        </w:rPr>
        <w:t>. Адміністративні витрати</w:t>
      </w:r>
      <w:bookmarkEnd w:id="4"/>
      <w:r w:rsidR="00112141" w:rsidRPr="000E05A8">
        <w:rPr>
          <w:b/>
          <w:bCs/>
          <w:i/>
          <w:spacing w:val="-2"/>
          <w:sz w:val="22"/>
          <w:szCs w:val="22"/>
          <w:lang w:val="uk-UA"/>
        </w:rPr>
        <w:t>, інші витрати</w:t>
      </w:r>
    </w:p>
    <w:p w14:paraId="20185275" w14:textId="478CB5B3" w:rsidR="00752554" w:rsidRDefault="00752554" w:rsidP="00794809">
      <w:pPr>
        <w:ind w:firstLine="709"/>
        <w:jc w:val="both"/>
        <w:rPr>
          <w:sz w:val="22"/>
          <w:szCs w:val="22"/>
          <w:lang w:val="uk-UA"/>
        </w:rPr>
      </w:pPr>
      <w:r w:rsidRPr="000E05A8">
        <w:rPr>
          <w:sz w:val="22"/>
          <w:szCs w:val="22"/>
          <w:lang w:val="uk-UA"/>
        </w:rPr>
        <w:t xml:space="preserve">Адміністративних витрат з </w:t>
      </w:r>
      <w:r w:rsidR="002628FB" w:rsidRPr="000E05A8">
        <w:rPr>
          <w:sz w:val="22"/>
          <w:szCs w:val="22"/>
          <w:lang w:val="uk-UA"/>
        </w:rPr>
        <w:t>01 січня 2021 року</w:t>
      </w:r>
      <w:r w:rsidR="00980979" w:rsidRPr="000E05A8">
        <w:rPr>
          <w:sz w:val="22"/>
          <w:szCs w:val="22"/>
          <w:lang w:val="uk-UA"/>
        </w:rPr>
        <w:t xml:space="preserve"> </w:t>
      </w:r>
      <w:r w:rsidRPr="000E05A8">
        <w:rPr>
          <w:sz w:val="22"/>
          <w:szCs w:val="22"/>
          <w:lang w:val="uk-UA"/>
        </w:rPr>
        <w:t xml:space="preserve">по </w:t>
      </w:r>
      <w:r w:rsidR="00980979" w:rsidRPr="000E05A8">
        <w:rPr>
          <w:sz w:val="22"/>
          <w:szCs w:val="22"/>
          <w:lang w:val="uk-UA"/>
        </w:rPr>
        <w:t>31 березня 2021</w:t>
      </w:r>
      <w:r w:rsidR="00FA7519" w:rsidRPr="000E05A8">
        <w:rPr>
          <w:sz w:val="22"/>
          <w:szCs w:val="22"/>
          <w:lang w:val="uk-UA"/>
        </w:rPr>
        <w:t xml:space="preserve"> року</w:t>
      </w:r>
      <w:r w:rsidRPr="000E05A8">
        <w:rPr>
          <w:sz w:val="22"/>
          <w:szCs w:val="22"/>
          <w:lang w:val="uk-UA"/>
        </w:rPr>
        <w:t xml:space="preserve"> Товариство отримало в розмірі </w:t>
      </w:r>
      <w:r w:rsidR="008C47C1" w:rsidRPr="000E05A8">
        <w:rPr>
          <w:sz w:val="22"/>
          <w:szCs w:val="22"/>
        </w:rPr>
        <w:t>213</w:t>
      </w:r>
      <w:r w:rsidRPr="000E05A8">
        <w:rPr>
          <w:sz w:val="22"/>
          <w:szCs w:val="22"/>
          <w:lang w:val="uk-UA"/>
        </w:rPr>
        <w:t xml:space="preserve"> тис. грн., з яких:</w:t>
      </w:r>
    </w:p>
    <w:p w14:paraId="7C2364A6" w14:textId="510627F1" w:rsidR="008D1B3A" w:rsidRPr="000E05A8" w:rsidRDefault="008D1B3A" w:rsidP="008D1B3A">
      <w:pPr>
        <w:ind w:firstLine="709"/>
        <w:jc w:val="right"/>
        <w:rPr>
          <w:color w:val="FF00FF"/>
          <w:sz w:val="22"/>
          <w:szCs w:val="22"/>
          <w:lang w:val="uk-UA"/>
        </w:rPr>
      </w:pPr>
      <w:r w:rsidRPr="000E05A8">
        <w:rPr>
          <w:bCs/>
          <w:spacing w:val="-2"/>
          <w:sz w:val="22"/>
          <w:szCs w:val="22"/>
          <w:lang w:val="uk-UA"/>
        </w:rPr>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956"/>
      </w:tblGrid>
      <w:tr w:rsidR="00752554" w:rsidRPr="008D1B3A" w14:paraId="7BD66787" w14:textId="77777777" w:rsidTr="005E0FDD">
        <w:tc>
          <w:tcPr>
            <w:tcW w:w="4956" w:type="dxa"/>
          </w:tcPr>
          <w:p w14:paraId="60200BBF" w14:textId="77777777" w:rsidR="00752554" w:rsidRPr="008D1B3A" w:rsidRDefault="00752554" w:rsidP="005E0FDD">
            <w:pPr>
              <w:autoSpaceDE w:val="0"/>
              <w:autoSpaceDN w:val="0"/>
              <w:adjustRightInd w:val="0"/>
              <w:ind w:firstLine="709"/>
              <w:jc w:val="both"/>
              <w:rPr>
                <w:sz w:val="20"/>
                <w:szCs w:val="20"/>
                <w:lang w:val="uk-UA"/>
              </w:rPr>
            </w:pPr>
            <w:r w:rsidRPr="008D1B3A">
              <w:rPr>
                <w:rStyle w:val="20"/>
                <w:color w:val="auto"/>
                <w:sz w:val="20"/>
                <w:szCs w:val="20"/>
              </w:rPr>
              <w:t>Назва статті</w:t>
            </w:r>
          </w:p>
        </w:tc>
        <w:tc>
          <w:tcPr>
            <w:tcW w:w="4956" w:type="dxa"/>
          </w:tcPr>
          <w:p w14:paraId="486F95E6" w14:textId="77777777" w:rsidR="00752554" w:rsidRPr="008D1B3A" w:rsidRDefault="00752554" w:rsidP="008D1B3A">
            <w:pPr>
              <w:autoSpaceDE w:val="0"/>
              <w:autoSpaceDN w:val="0"/>
              <w:adjustRightInd w:val="0"/>
              <w:jc w:val="center"/>
              <w:rPr>
                <w:sz w:val="20"/>
                <w:szCs w:val="20"/>
                <w:lang w:val="uk-UA"/>
              </w:rPr>
            </w:pPr>
            <w:r w:rsidRPr="008D1B3A">
              <w:rPr>
                <w:rStyle w:val="20"/>
                <w:color w:val="auto"/>
                <w:sz w:val="20"/>
                <w:szCs w:val="20"/>
              </w:rPr>
              <w:t>За звітний період</w:t>
            </w:r>
          </w:p>
        </w:tc>
      </w:tr>
      <w:tr w:rsidR="00752554" w:rsidRPr="008D1B3A" w14:paraId="71C4D21D" w14:textId="77777777" w:rsidTr="005E0FDD">
        <w:tc>
          <w:tcPr>
            <w:tcW w:w="4956" w:type="dxa"/>
          </w:tcPr>
          <w:p w14:paraId="6B4E911D" w14:textId="77777777" w:rsidR="00752554" w:rsidRPr="008D1B3A" w:rsidRDefault="00752554" w:rsidP="009A188F">
            <w:pPr>
              <w:jc w:val="both"/>
              <w:rPr>
                <w:sz w:val="20"/>
                <w:szCs w:val="20"/>
                <w:lang w:val="uk-UA"/>
              </w:rPr>
            </w:pPr>
            <w:r w:rsidRPr="008D1B3A">
              <w:rPr>
                <w:sz w:val="20"/>
                <w:szCs w:val="20"/>
                <w:lang w:val="uk-UA"/>
              </w:rPr>
              <w:t>Витрати на оплату праці</w:t>
            </w:r>
          </w:p>
        </w:tc>
        <w:tc>
          <w:tcPr>
            <w:tcW w:w="4956" w:type="dxa"/>
          </w:tcPr>
          <w:p w14:paraId="4021F51B" w14:textId="57B5B6EB" w:rsidR="00752554" w:rsidRPr="008D1B3A" w:rsidRDefault="008C47C1" w:rsidP="008D1B3A">
            <w:pPr>
              <w:autoSpaceDE w:val="0"/>
              <w:autoSpaceDN w:val="0"/>
              <w:adjustRightInd w:val="0"/>
              <w:jc w:val="center"/>
              <w:rPr>
                <w:color w:val="FF0000"/>
                <w:sz w:val="20"/>
                <w:szCs w:val="20"/>
                <w:lang w:val="en-US"/>
              </w:rPr>
            </w:pPr>
            <w:r w:rsidRPr="008D1B3A">
              <w:rPr>
                <w:sz w:val="20"/>
                <w:szCs w:val="20"/>
                <w:lang w:val="en-US"/>
              </w:rPr>
              <w:t>69</w:t>
            </w:r>
          </w:p>
        </w:tc>
      </w:tr>
      <w:tr w:rsidR="00FC7D45" w:rsidRPr="008D1B3A" w14:paraId="02C8C32D" w14:textId="77777777" w:rsidTr="00C87439">
        <w:tc>
          <w:tcPr>
            <w:tcW w:w="4956" w:type="dxa"/>
          </w:tcPr>
          <w:p w14:paraId="1241B22F" w14:textId="77777777" w:rsidR="00FC7D45" w:rsidRPr="008D1B3A" w:rsidRDefault="00FC7D45" w:rsidP="00C87439">
            <w:pPr>
              <w:autoSpaceDE w:val="0"/>
              <w:autoSpaceDN w:val="0"/>
              <w:adjustRightInd w:val="0"/>
              <w:jc w:val="both"/>
              <w:rPr>
                <w:sz w:val="20"/>
                <w:szCs w:val="20"/>
                <w:lang w:val="uk-UA"/>
              </w:rPr>
            </w:pPr>
            <w:r w:rsidRPr="008D1B3A">
              <w:rPr>
                <w:sz w:val="20"/>
                <w:szCs w:val="20"/>
                <w:lang w:val="uk-UA"/>
              </w:rPr>
              <w:t>Забезпечення відпусток</w:t>
            </w:r>
          </w:p>
        </w:tc>
        <w:tc>
          <w:tcPr>
            <w:tcW w:w="4956" w:type="dxa"/>
          </w:tcPr>
          <w:p w14:paraId="7D5D63C0" w14:textId="71373C9F" w:rsidR="00FC7D45" w:rsidRPr="008D1B3A" w:rsidRDefault="008C47C1" w:rsidP="008D1B3A">
            <w:pPr>
              <w:autoSpaceDE w:val="0"/>
              <w:autoSpaceDN w:val="0"/>
              <w:adjustRightInd w:val="0"/>
              <w:jc w:val="center"/>
              <w:rPr>
                <w:sz w:val="20"/>
                <w:szCs w:val="20"/>
                <w:lang w:val="en-US"/>
              </w:rPr>
            </w:pPr>
            <w:r w:rsidRPr="008D1B3A">
              <w:rPr>
                <w:sz w:val="20"/>
                <w:szCs w:val="20"/>
                <w:lang w:val="en-US"/>
              </w:rPr>
              <w:t>6</w:t>
            </w:r>
          </w:p>
        </w:tc>
      </w:tr>
      <w:tr w:rsidR="008F4EAC" w:rsidRPr="008D1B3A" w14:paraId="3E5B9549" w14:textId="77777777" w:rsidTr="005E0FDD">
        <w:tc>
          <w:tcPr>
            <w:tcW w:w="4956" w:type="dxa"/>
          </w:tcPr>
          <w:p w14:paraId="26BDA36A" w14:textId="77777777" w:rsidR="008F4EAC" w:rsidRPr="008D1B3A" w:rsidRDefault="008F4EAC" w:rsidP="008F4EAC">
            <w:pPr>
              <w:autoSpaceDE w:val="0"/>
              <w:autoSpaceDN w:val="0"/>
              <w:adjustRightInd w:val="0"/>
              <w:jc w:val="both"/>
              <w:rPr>
                <w:sz w:val="20"/>
                <w:szCs w:val="20"/>
                <w:lang w:val="uk-UA"/>
              </w:rPr>
            </w:pPr>
            <w:r w:rsidRPr="008D1B3A">
              <w:rPr>
                <w:sz w:val="20"/>
                <w:szCs w:val="20"/>
                <w:lang w:val="uk-UA"/>
              </w:rPr>
              <w:t>ЄСВ</w:t>
            </w:r>
          </w:p>
        </w:tc>
        <w:tc>
          <w:tcPr>
            <w:tcW w:w="4956" w:type="dxa"/>
          </w:tcPr>
          <w:p w14:paraId="5432DD2B" w14:textId="5A8986C6" w:rsidR="008F4EAC" w:rsidRPr="008D1B3A" w:rsidRDefault="008C47C1" w:rsidP="008D1B3A">
            <w:pPr>
              <w:autoSpaceDE w:val="0"/>
              <w:autoSpaceDN w:val="0"/>
              <w:adjustRightInd w:val="0"/>
              <w:jc w:val="center"/>
              <w:rPr>
                <w:sz w:val="20"/>
                <w:szCs w:val="20"/>
                <w:lang w:val="en-US"/>
              </w:rPr>
            </w:pPr>
            <w:r w:rsidRPr="008D1B3A">
              <w:rPr>
                <w:sz w:val="20"/>
                <w:szCs w:val="20"/>
                <w:lang w:val="en-US"/>
              </w:rPr>
              <w:t>15</w:t>
            </w:r>
          </w:p>
        </w:tc>
      </w:tr>
      <w:tr w:rsidR="00145E8D" w:rsidRPr="008D1B3A" w14:paraId="0AFFAB87" w14:textId="77777777" w:rsidTr="005E0FDD">
        <w:tc>
          <w:tcPr>
            <w:tcW w:w="4956" w:type="dxa"/>
          </w:tcPr>
          <w:p w14:paraId="14F0333E" w14:textId="6EAD2321" w:rsidR="00145E8D" w:rsidRPr="008D1B3A" w:rsidRDefault="00533818" w:rsidP="008F4EAC">
            <w:pPr>
              <w:autoSpaceDE w:val="0"/>
              <w:autoSpaceDN w:val="0"/>
              <w:adjustRightInd w:val="0"/>
              <w:jc w:val="both"/>
              <w:rPr>
                <w:sz w:val="20"/>
                <w:szCs w:val="20"/>
                <w:lang w:val="uk-UA"/>
              </w:rPr>
            </w:pPr>
            <w:r w:rsidRPr="008D1B3A">
              <w:rPr>
                <w:sz w:val="20"/>
                <w:szCs w:val="20"/>
                <w:lang w:val="uk-UA"/>
              </w:rPr>
              <w:t>Амортизація</w:t>
            </w:r>
          </w:p>
        </w:tc>
        <w:tc>
          <w:tcPr>
            <w:tcW w:w="4956" w:type="dxa"/>
          </w:tcPr>
          <w:p w14:paraId="5DEA9269" w14:textId="30E04FF5" w:rsidR="00145E8D" w:rsidRPr="008D1B3A" w:rsidRDefault="00C00E3B" w:rsidP="008D1B3A">
            <w:pPr>
              <w:autoSpaceDE w:val="0"/>
              <w:autoSpaceDN w:val="0"/>
              <w:adjustRightInd w:val="0"/>
              <w:jc w:val="center"/>
              <w:rPr>
                <w:sz w:val="20"/>
                <w:szCs w:val="20"/>
                <w:lang w:val="uk-UA"/>
              </w:rPr>
            </w:pPr>
            <w:r w:rsidRPr="008D1B3A">
              <w:rPr>
                <w:sz w:val="20"/>
                <w:szCs w:val="20"/>
                <w:lang w:val="uk-UA"/>
              </w:rPr>
              <w:t>2</w:t>
            </w:r>
          </w:p>
        </w:tc>
      </w:tr>
      <w:tr w:rsidR="00A63ABC" w:rsidRPr="008D1B3A" w14:paraId="580F0AFC" w14:textId="77777777" w:rsidTr="005E0FDD">
        <w:tc>
          <w:tcPr>
            <w:tcW w:w="4956" w:type="dxa"/>
          </w:tcPr>
          <w:p w14:paraId="353DF2DB" w14:textId="464A2264" w:rsidR="00A63ABC" w:rsidRPr="008D1B3A" w:rsidRDefault="00131600" w:rsidP="008F4EAC">
            <w:pPr>
              <w:autoSpaceDE w:val="0"/>
              <w:autoSpaceDN w:val="0"/>
              <w:adjustRightInd w:val="0"/>
              <w:jc w:val="both"/>
              <w:rPr>
                <w:sz w:val="20"/>
                <w:szCs w:val="20"/>
                <w:lang w:val="uk-UA"/>
              </w:rPr>
            </w:pPr>
            <w:r w:rsidRPr="008D1B3A">
              <w:rPr>
                <w:sz w:val="20"/>
                <w:szCs w:val="20"/>
                <w:lang w:val="uk-UA"/>
              </w:rPr>
              <w:t>Оренда приміщення</w:t>
            </w:r>
          </w:p>
        </w:tc>
        <w:tc>
          <w:tcPr>
            <w:tcW w:w="4956" w:type="dxa"/>
          </w:tcPr>
          <w:p w14:paraId="249A8C8F" w14:textId="5615F5EE" w:rsidR="00A63ABC" w:rsidRPr="008D1B3A" w:rsidRDefault="00533818" w:rsidP="008D1B3A">
            <w:pPr>
              <w:autoSpaceDE w:val="0"/>
              <w:autoSpaceDN w:val="0"/>
              <w:adjustRightInd w:val="0"/>
              <w:jc w:val="center"/>
              <w:rPr>
                <w:sz w:val="20"/>
                <w:szCs w:val="20"/>
                <w:lang w:val="en-US"/>
              </w:rPr>
            </w:pPr>
            <w:r w:rsidRPr="008D1B3A">
              <w:rPr>
                <w:sz w:val="20"/>
                <w:szCs w:val="20"/>
                <w:lang w:val="en-US"/>
              </w:rPr>
              <w:t>110</w:t>
            </w:r>
          </w:p>
        </w:tc>
      </w:tr>
      <w:tr w:rsidR="008F4EAC" w:rsidRPr="008D1B3A" w14:paraId="6930DF83" w14:textId="77777777" w:rsidTr="005E0FDD">
        <w:tc>
          <w:tcPr>
            <w:tcW w:w="4956" w:type="dxa"/>
          </w:tcPr>
          <w:p w14:paraId="0EA5DE43" w14:textId="77777777" w:rsidR="008F4EAC" w:rsidRPr="008D1B3A" w:rsidRDefault="008F4EAC" w:rsidP="008F4EAC">
            <w:pPr>
              <w:autoSpaceDE w:val="0"/>
              <w:autoSpaceDN w:val="0"/>
              <w:adjustRightInd w:val="0"/>
              <w:jc w:val="both"/>
              <w:rPr>
                <w:sz w:val="20"/>
                <w:szCs w:val="20"/>
                <w:lang w:val="uk-UA"/>
              </w:rPr>
            </w:pPr>
            <w:r w:rsidRPr="008D1B3A">
              <w:rPr>
                <w:sz w:val="20"/>
                <w:szCs w:val="20"/>
                <w:lang w:val="uk-UA"/>
              </w:rPr>
              <w:t>Банківські послуги</w:t>
            </w:r>
          </w:p>
        </w:tc>
        <w:tc>
          <w:tcPr>
            <w:tcW w:w="4956" w:type="dxa"/>
          </w:tcPr>
          <w:p w14:paraId="0C4C60F9" w14:textId="2388969C" w:rsidR="008F4EAC" w:rsidRPr="008D1B3A" w:rsidRDefault="00533818" w:rsidP="008D1B3A">
            <w:pPr>
              <w:autoSpaceDE w:val="0"/>
              <w:autoSpaceDN w:val="0"/>
              <w:adjustRightInd w:val="0"/>
              <w:jc w:val="center"/>
              <w:rPr>
                <w:sz w:val="20"/>
                <w:szCs w:val="20"/>
                <w:lang w:val="en-US"/>
              </w:rPr>
            </w:pPr>
            <w:r w:rsidRPr="008D1B3A">
              <w:rPr>
                <w:sz w:val="20"/>
                <w:szCs w:val="20"/>
                <w:lang w:val="en-US"/>
              </w:rPr>
              <w:t>1</w:t>
            </w:r>
          </w:p>
        </w:tc>
      </w:tr>
      <w:tr w:rsidR="00397A2F" w:rsidRPr="008D1B3A" w14:paraId="04504F69" w14:textId="77777777" w:rsidTr="005E0FDD">
        <w:tc>
          <w:tcPr>
            <w:tcW w:w="4956" w:type="dxa"/>
          </w:tcPr>
          <w:p w14:paraId="3FF9D9CC" w14:textId="4E93E5C6" w:rsidR="00397A2F" w:rsidRPr="008D1B3A" w:rsidRDefault="00C00E3B" w:rsidP="008F4EAC">
            <w:pPr>
              <w:autoSpaceDE w:val="0"/>
              <w:autoSpaceDN w:val="0"/>
              <w:adjustRightInd w:val="0"/>
              <w:jc w:val="both"/>
              <w:rPr>
                <w:sz w:val="20"/>
                <w:szCs w:val="20"/>
                <w:lang w:val="uk-UA"/>
              </w:rPr>
            </w:pPr>
            <w:r w:rsidRPr="008D1B3A">
              <w:rPr>
                <w:sz w:val="20"/>
                <w:szCs w:val="20"/>
                <w:lang w:val="uk-UA"/>
              </w:rPr>
              <w:t>Консультаційні послуги</w:t>
            </w:r>
          </w:p>
        </w:tc>
        <w:tc>
          <w:tcPr>
            <w:tcW w:w="4956" w:type="dxa"/>
          </w:tcPr>
          <w:p w14:paraId="6F254837" w14:textId="1AE2CDC6" w:rsidR="00397A2F" w:rsidRPr="008D1B3A" w:rsidRDefault="00C00E3B" w:rsidP="008D1B3A">
            <w:pPr>
              <w:autoSpaceDE w:val="0"/>
              <w:autoSpaceDN w:val="0"/>
              <w:adjustRightInd w:val="0"/>
              <w:jc w:val="center"/>
              <w:rPr>
                <w:sz w:val="20"/>
                <w:szCs w:val="20"/>
                <w:lang w:val="uk-UA"/>
              </w:rPr>
            </w:pPr>
            <w:r w:rsidRPr="008D1B3A">
              <w:rPr>
                <w:sz w:val="20"/>
                <w:szCs w:val="20"/>
                <w:lang w:val="uk-UA"/>
              </w:rPr>
              <w:t>3</w:t>
            </w:r>
          </w:p>
        </w:tc>
      </w:tr>
      <w:tr w:rsidR="00397A2F" w:rsidRPr="008D1B3A" w14:paraId="56F87654" w14:textId="77777777" w:rsidTr="005E0FDD">
        <w:tc>
          <w:tcPr>
            <w:tcW w:w="4956" w:type="dxa"/>
          </w:tcPr>
          <w:p w14:paraId="2BF81EC5" w14:textId="02153A15" w:rsidR="00397A2F" w:rsidRPr="008D1B3A" w:rsidRDefault="005836B4" w:rsidP="008F4EAC">
            <w:pPr>
              <w:autoSpaceDE w:val="0"/>
              <w:autoSpaceDN w:val="0"/>
              <w:adjustRightInd w:val="0"/>
              <w:jc w:val="both"/>
              <w:rPr>
                <w:sz w:val="20"/>
                <w:szCs w:val="20"/>
                <w:lang w:val="uk-UA"/>
              </w:rPr>
            </w:pPr>
            <w:r w:rsidRPr="008D1B3A">
              <w:rPr>
                <w:sz w:val="20"/>
                <w:szCs w:val="20"/>
                <w:lang w:val="uk-UA"/>
              </w:rPr>
              <w:t>УАІБ/АРІФРУ</w:t>
            </w:r>
          </w:p>
        </w:tc>
        <w:tc>
          <w:tcPr>
            <w:tcW w:w="4956" w:type="dxa"/>
          </w:tcPr>
          <w:p w14:paraId="68C13418" w14:textId="0361D801" w:rsidR="00397A2F" w:rsidRPr="008D1B3A" w:rsidRDefault="005836B4" w:rsidP="008D1B3A">
            <w:pPr>
              <w:autoSpaceDE w:val="0"/>
              <w:autoSpaceDN w:val="0"/>
              <w:adjustRightInd w:val="0"/>
              <w:jc w:val="center"/>
              <w:rPr>
                <w:sz w:val="20"/>
                <w:szCs w:val="20"/>
                <w:lang w:val="uk-UA"/>
              </w:rPr>
            </w:pPr>
            <w:r w:rsidRPr="008D1B3A">
              <w:rPr>
                <w:sz w:val="20"/>
                <w:szCs w:val="20"/>
                <w:lang w:val="uk-UA"/>
              </w:rPr>
              <w:t>7</w:t>
            </w:r>
          </w:p>
        </w:tc>
      </w:tr>
      <w:tr w:rsidR="00752554" w:rsidRPr="008D1B3A" w14:paraId="659AEB4E" w14:textId="77777777" w:rsidTr="005E0FDD">
        <w:tc>
          <w:tcPr>
            <w:tcW w:w="4956" w:type="dxa"/>
          </w:tcPr>
          <w:p w14:paraId="12FB8121" w14:textId="77777777" w:rsidR="00752554" w:rsidRPr="008D1B3A" w:rsidRDefault="00752554" w:rsidP="005E0FDD">
            <w:pPr>
              <w:autoSpaceDE w:val="0"/>
              <w:autoSpaceDN w:val="0"/>
              <w:adjustRightInd w:val="0"/>
              <w:ind w:firstLine="709"/>
              <w:jc w:val="both"/>
              <w:rPr>
                <w:b/>
                <w:bCs/>
                <w:i/>
                <w:iCs/>
                <w:sz w:val="20"/>
                <w:szCs w:val="20"/>
                <w:lang w:val="uk-UA"/>
              </w:rPr>
            </w:pPr>
            <w:r w:rsidRPr="008D1B3A">
              <w:rPr>
                <w:b/>
                <w:bCs/>
                <w:i/>
                <w:iCs/>
                <w:sz w:val="20"/>
                <w:szCs w:val="20"/>
                <w:lang w:val="uk-UA"/>
              </w:rPr>
              <w:t>Всього</w:t>
            </w:r>
          </w:p>
        </w:tc>
        <w:tc>
          <w:tcPr>
            <w:tcW w:w="4956" w:type="dxa"/>
          </w:tcPr>
          <w:p w14:paraId="55958EFA" w14:textId="1536AC30" w:rsidR="00752554" w:rsidRPr="008D1B3A" w:rsidRDefault="002C1492" w:rsidP="008D1B3A">
            <w:pPr>
              <w:autoSpaceDE w:val="0"/>
              <w:autoSpaceDN w:val="0"/>
              <w:adjustRightInd w:val="0"/>
              <w:jc w:val="center"/>
              <w:rPr>
                <w:b/>
                <w:bCs/>
                <w:i/>
                <w:iCs/>
                <w:sz w:val="20"/>
                <w:szCs w:val="20"/>
                <w:lang w:val="uk-UA"/>
              </w:rPr>
            </w:pPr>
            <w:r w:rsidRPr="008D1B3A">
              <w:rPr>
                <w:b/>
                <w:bCs/>
                <w:i/>
                <w:iCs/>
                <w:sz w:val="20"/>
                <w:szCs w:val="20"/>
                <w:lang w:val="uk-UA"/>
              </w:rPr>
              <w:t>213</w:t>
            </w:r>
          </w:p>
        </w:tc>
      </w:tr>
    </w:tbl>
    <w:p w14:paraId="6FA834B7" w14:textId="77777777" w:rsidR="00D565FD" w:rsidRPr="000E05A8" w:rsidRDefault="00D565FD" w:rsidP="00794809">
      <w:pPr>
        <w:shd w:val="clear" w:color="auto" w:fill="FFFFFF"/>
        <w:ind w:firstLine="709"/>
        <w:jc w:val="both"/>
        <w:outlineLvl w:val="0"/>
        <w:rPr>
          <w:b/>
          <w:bCs/>
          <w:i/>
          <w:iCs/>
          <w:spacing w:val="-2"/>
          <w:sz w:val="22"/>
          <w:szCs w:val="22"/>
          <w:lang w:val="uk-UA"/>
        </w:rPr>
      </w:pPr>
      <w:bookmarkStart w:id="5" w:name="bookmark19"/>
    </w:p>
    <w:p w14:paraId="0341EB0D" w14:textId="282A0901" w:rsidR="00752554" w:rsidRPr="000E05A8" w:rsidRDefault="00112141" w:rsidP="00794809">
      <w:pPr>
        <w:shd w:val="clear" w:color="auto" w:fill="FFFFFF"/>
        <w:ind w:firstLine="709"/>
        <w:jc w:val="both"/>
        <w:outlineLvl w:val="0"/>
        <w:rPr>
          <w:b/>
          <w:bCs/>
          <w:i/>
          <w:iCs/>
          <w:spacing w:val="-2"/>
          <w:sz w:val="22"/>
          <w:szCs w:val="22"/>
          <w:lang w:val="uk-UA"/>
        </w:rPr>
      </w:pPr>
      <w:r w:rsidRPr="000E05A8">
        <w:rPr>
          <w:b/>
          <w:bCs/>
          <w:i/>
          <w:iCs/>
          <w:spacing w:val="-2"/>
          <w:sz w:val="22"/>
          <w:szCs w:val="22"/>
          <w:lang w:val="uk-UA"/>
        </w:rPr>
        <w:t>Інші витрати</w:t>
      </w:r>
    </w:p>
    <w:p w14:paraId="53BE6D6C" w14:textId="6D04FAA7" w:rsidR="00112141" w:rsidRDefault="00D565FD" w:rsidP="00EC0F83">
      <w:pPr>
        <w:shd w:val="clear" w:color="auto" w:fill="FFFFFF"/>
        <w:ind w:firstLine="709"/>
        <w:jc w:val="both"/>
        <w:outlineLvl w:val="0"/>
        <w:rPr>
          <w:spacing w:val="-2"/>
          <w:sz w:val="22"/>
          <w:szCs w:val="22"/>
          <w:lang w:val="uk-UA"/>
        </w:rPr>
      </w:pPr>
      <w:r w:rsidRPr="000E05A8">
        <w:rPr>
          <w:spacing w:val="-2"/>
          <w:sz w:val="22"/>
          <w:szCs w:val="22"/>
          <w:lang w:val="uk-UA"/>
        </w:rPr>
        <w:t xml:space="preserve">До складу </w:t>
      </w:r>
      <w:r w:rsidR="00487933" w:rsidRPr="000E05A8">
        <w:rPr>
          <w:b/>
          <w:bCs/>
          <w:i/>
          <w:iCs/>
          <w:spacing w:val="-2"/>
          <w:sz w:val="22"/>
          <w:szCs w:val="22"/>
          <w:lang w:val="uk-UA"/>
        </w:rPr>
        <w:t>І</w:t>
      </w:r>
      <w:r w:rsidRPr="000E05A8">
        <w:rPr>
          <w:b/>
          <w:bCs/>
          <w:i/>
          <w:iCs/>
          <w:spacing w:val="-2"/>
          <w:sz w:val="22"/>
          <w:szCs w:val="22"/>
          <w:lang w:val="uk-UA"/>
        </w:rPr>
        <w:t>нших витрат</w:t>
      </w:r>
      <w:r w:rsidRPr="000E05A8">
        <w:rPr>
          <w:spacing w:val="-2"/>
          <w:sz w:val="22"/>
          <w:szCs w:val="22"/>
          <w:lang w:val="uk-UA"/>
        </w:rPr>
        <w:t xml:space="preserve"> відносяться</w:t>
      </w:r>
      <w:r w:rsidR="00EC0F83" w:rsidRPr="000E05A8">
        <w:rPr>
          <w:spacing w:val="-2"/>
          <w:sz w:val="22"/>
          <w:szCs w:val="22"/>
          <w:lang w:val="uk-UA"/>
        </w:rPr>
        <w:t xml:space="preserve"> </w:t>
      </w:r>
      <w:r w:rsidRPr="000E05A8">
        <w:rPr>
          <w:spacing w:val="-2"/>
          <w:sz w:val="22"/>
          <w:szCs w:val="22"/>
          <w:lang w:val="uk-UA"/>
        </w:rPr>
        <w:t>витрати</w:t>
      </w:r>
      <w:r w:rsidR="00B951EC" w:rsidRPr="000E05A8">
        <w:rPr>
          <w:spacing w:val="-2"/>
          <w:sz w:val="22"/>
          <w:szCs w:val="22"/>
          <w:lang w:val="uk-UA"/>
        </w:rPr>
        <w:t xml:space="preserve"> від операційної курсової різниці</w:t>
      </w:r>
      <w:r w:rsidRPr="000E05A8">
        <w:rPr>
          <w:spacing w:val="-2"/>
          <w:sz w:val="22"/>
          <w:szCs w:val="22"/>
          <w:lang w:val="uk-UA"/>
        </w:rPr>
        <w:t xml:space="preserve">, </w:t>
      </w:r>
      <w:r w:rsidR="00B951EC" w:rsidRPr="000E05A8">
        <w:rPr>
          <w:spacing w:val="-2"/>
          <w:sz w:val="22"/>
          <w:szCs w:val="22"/>
          <w:lang w:val="uk-UA"/>
        </w:rPr>
        <w:t xml:space="preserve">що </w:t>
      </w:r>
      <w:r w:rsidRPr="000E05A8">
        <w:rPr>
          <w:spacing w:val="-2"/>
          <w:sz w:val="22"/>
          <w:szCs w:val="22"/>
          <w:lang w:val="uk-UA"/>
        </w:rPr>
        <w:t>пов’язан</w:t>
      </w:r>
      <w:r w:rsidR="00B951EC" w:rsidRPr="000E05A8">
        <w:rPr>
          <w:spacing w:val="-2"/>
          <w:sz w:val="22"/>
          <w:szCs w:val="22"/>
          <w:lang w:val="uk-UA"/>
        </w:rPr>
        <w:t>а</w:t>
      </w:r>
      <w:r w:rsidRPr="000E05A8">
        <w:rPr>
          <w:spacing w:val="-2"/>
          <w:sz w:val="22"/>
          <w:szCs w:val="22"/>
          <w:lang w:val="uk-UA"/>
        </w:rPr>
        <w:t xml:space="preserve"> з переоцінкою</w:t>
      </w:r>
      <w:r w:rsidR="00BB0C5A" w:rsidRPr="000E05A8">
        <w:rPr>
          <w:spacing w:val="-2"/>
          <w:sz w:val="22"/>
          <w:szCs w:val="22"/>
          <w:lang w:val="uk-UA"/>
        </w:rPr>
        <w:t xml:space="preserve"> облігацій </w:t>
      </w:r>
      <w:r w:rsidR="00284157" w:rsidRPr="000E05A8">
        <w:rPr>
          <w:spacing w:val="-2"/>
          <w:sz w:val="22"/>
          <w:szCs w:val="22"/>
          <w:lang w:val="uk-UA"/>
        </w:rPr>
        <w:t>(</w:t>
      </w:r>
      <w:r w:rsidR="00AF3496" w:rsidRPr="000E05A8">
        <w:rPr>
          <w:spacing w:val="-2"/>
          <w:sz w:val="22"/>
          <w:szCs w:val="22"/>
          <w:lang w:val="uk-UA"/>
        </w:rPr>
        <w:t>96</w:t>
      </w:r>
      <w:r w:rsidR="00BB0C5A" w:rsidRPr="000E05A8">
        <w:rPr>
          <w:spacing w:val="-2"/>
          <w:sz w:val="22"/>
          <w:szCs w:val="22"/>
          <w:lang w:val="uk-UA"/>
        </w:rPr>
        <w:t xml:space="preserve"> тис. грн.</w:t>
      </w:r>
      <w:r w:rsidR="00284157" w:rsidRPr="000E05A8">
        <w:rPr>
          <w:spacing w:val="-2"/>
          <w:sz w:val="22"/>
          <w:szCs w:val="22"/>
          <w:lang w:val="uk-UA"/>
        </w:rPr>
        <w:t>)</w:t>
      </w:r>
      <w:r w:rsidR="00EC0F83" w:rsidRPr="000E05A8">
        <w:rPr>
          <w:spacing w:val="-2"/>
          <w:sz w:val="22"/>
          <w:szCs w:val="22"/>
          <w:lang w:val="uk-UA"/>
        </w:rPr>
        <w:t xml:space="preserve"> та нарахован</w:t>
      </w:r>
      <w:r w:rsidR="004C1642" w:rsidRPr="000E05A8">
        <w:rPr>
          <w:spacing w:val="-2"/>
          <w:sz w:val="22"/>
          <w:szCs w:val="22"/>
          <w:lang w:val="uk-UA"/>
        </w:rPr>
        <w:t>ого</w:t>
      </w:r>
      <w:r w:rsidR="00EC0F83" w:rsidRPr="000E05A8">
        <w:rPr>
          <w:spacing w:val="-2"/>
          <w:sz w:val="22"/>
          <w:szCs w:val="22"/>
          <w:lang w:val="uk-UA"/>
        </w:rPr>
        <w:t xml:space="preserve"> купонн</w:t>
      </w:r>
      <w:r w:rsidR="004C1642" w:rsidRPr="000E05A8">
        <w:rPr>
          <w:spacing w:val="-2"/>
          <w:sz w:val="22"/>
          <w:szCs w:val="22"/>
          <w:lang w:val="uk-UA"/>
        </w:rPr>
        <w:t>ого</w:t>
      </w:r>
      <w:r w:rsidR="00EC0F83" w:rsidRPr="000E05A8">
        <w:rPr>
          <w:spacing w:val="-2"/>
          <w:sz w:val="22"/>
          <w:szCs w:val="22"/>
          <w:lang w:val="uk-UA"/>
        </w:rPr>
        <w:t xml:space="preserve"> дох</w:t>
      </w:r>
      <w:r w:rsidR="004C1642" w:rsidRPr="000E05A8">
        <w:rPr>
          <w:spacing w:val="-2"/>
          <w:sz w:val="22"/>
          <w:szCs w:val="22"/>
          <w:lang w:val="uk-UA"/>
        </w:rPr>
        <w:t>о</w:t>
      </w:r>
      <w:r w:rsidR="00EC0F83" w:rsidRPr="000E05A8">
        <w:rPr>
          <w:spacing w:val="-2"/>
          <w:sz w:val="22"/>
          <w:szCs w:val="22"/>
          <w:lang w:val="uk-UA"/>
        </w:rPr>
        <w:t>д</w:t>
      </w:r>
      <w:r w:rsidR="004C1642" w:rsidRPr="000E05A8">
        <w:rPr>
          <w:spacing w:val="-2"/>
          <w:sz w:val="22"/>
          <w:szCs w:val="22"/>
          <w:lang w:val="uk-UA"/>
        </w:rPr>
        <w:t>у</w:t>
      </w:r>
      <w:r w:rsidR="00EC0F83" w:rsidRPr="000E05A8">
        <w:rPr>
          <w:spacing w:val="-2"/>
          <w:sz w:val="22"/>
          <w:szCs w:val="22"/>
          <w:lang w:val="uk-UA"/>
        </w:rPr>
        <w:t xml:space="preserve"> по облігація</w:t>
      </w:r>
      <w:r w:rsidR="004C1642" w:rsidRPr="000E05A8">
        <w:rPr>
          <w:spacing w:val="-2"/>
          <w:sz w:val="22"/>
          <w:szCs w:val="22"/>
          <w:lang w:val="uk-UA"/>
        </w:rPr>
        <w:t>м</w:t>
      </w:r>
      <w:r w:rsidR="00EC0F83" w:rsidRPr="000E05A8">
        <w:rPr>
          <w:spacing w:val="-2"/>
          <w:sz w:val="22"/>
          <w:szCs w:val="22"/>
          <w:lang w:val="uk-UA"/>
        </w:rPr>
        <w:t xml:space="preserve"> </w:t>
      </w:r>
      <w:r w:rsidR="00D43272" w:rsidRPr="000E05A8">
        <w:rPr>
          <w:spacing w:val="-2"/>
          <w:sz w:val="22"/>
          <w:szCs w:val="22"/>
          <w:lang w:val="uk-UA"/>
        </w:rPr>
        <w:t xml:space="preserve">внутрішнього </w:t>
      </w:r>
      <w:r w:rsidR="00D43272" w:rsidRPr="000E05A8">
        <w:rPr>
          <w:spacing w:val="-2"/>
          <w:sz w:val="22"/>
          <w:szCs w:val="22"/>
          <w:lang w:val="uk-UA"/>
        </w:rPr>
        <w:lastRenderedPageBreak/>
        <w:t>державного займу</w:t>
      </w:r>
      <w:r w:rsidR="00870BFA" w:rsidRPr="000E05A8">
        <w:rPr>
          <w:spacing w:val="-2"/>
          <w:sz w:val="22"/>
          <w:szCs w:val="22"/>
          <w:lang w:val="uk-UA"/>
        </w:rPr>
        <w:t xml:space="preserve"> (2 тис грн).</w:t>
      </w:r>
      <w:r w:rsidR="00EC0F83" w:rsidRPr="000E05A8">
        <w:rPr>
          <w:spacing w:val="-2"/>
          <w:sz w:val="22"/>
          <w:szCs w:val="22"/>
          <w:lang w:val="uk-UA"/>
        </w:rPr>
        <w:t xml:space="preserve"> </w:t>
      </w:r>
      <w:r w:rsidRPr="000E05A8">
        <w:rPr>
          <w:spacing w:val="-2"/>
          <w:sz w:val="22"/>
          <w:szCs w:val="22"/>
          <w:lang w:val="uk-UA"/>
        </w:rPr>
        <w:t xml:space="preserve">Облігації </w:t>
      </w:r>
      <w:r w:rsidR="00EC0F83" w:rsidRPr="000E05A8">
        <w:rPr>
          <w:spacing w:val="-2"/>
          <w:sz w:val="22"/>
          <w:szCs w:val="22"/>
          <w:lang w:val="uk-UA"/>
        </w:rPr>
        <w:t xml:space="preserve"> та купон </w:t>
      </w:r>
      <w:r w:rsidRPr="000E05A8">
        <w:rPr>
          <w:spacing w:val="-2"/>
          <w:sz w:val="22"/>
          <w:szCs w:val="22"/>
          <w:lang w:val="uk-UA"/>
        </w:rPr>
        <w:t xml:space="preserve">обліковуються як валютні і тому на кінець звітного періоду, були переоцінені згідно курсу НБУ </w:t>
      </w:r>
      <w:r w:rsidR="00D43272" w:rsidRPr="000E05A8">
        <w:rPr>
          <w:spacing w:val="-2"/>
          <w:sz w:val="22"/>
          <w:szCs w:val="22"/>
          <w:lang w:val="uk-UA"/>
        </w:rPr>
        <w:t>(</w:t>
      </w:r>
      <w:r w:rsidRPr="000E05A8">
        <w:rPr>
          <w:spacing w:val="-2"/>
          <w:sz w:val="22"/>
          <w:szCs w:val="22"/>
          <w:lang w:val="uk-UA"/>
        </w:rPr>
        <w:t xml:space="preserve">на </w:t>
      </w:r>
      <w:r w:rsidR="00980979" w:rsidRPr="000E05A8">
        <w:rPr>
          <w:spacing w:val="-2"/>
          <w:sz w:val="22"/>
          <w:szCs w:val="22"/>
          <w:lang w:val="uk-UA"/>
        </w:rPr>
        <w:t>31.03.2021</w:t>
      </w:r>
      <w:r w:rsidRPr="000E05A8">
        <w:rPr>
          <w:spacing w:val="-2"/>
          <w:sz w:val="22"/>
          <w:szCs w:val="22"/>
          <w:lang w:val="uk-UA"/>
        </w:rPr>
        <w:t xml:space="preserve"> року – 28,2989 грн за 1 дол. США)</w:t>
      </w:r>
      <w:r w:rsidR="00870BFA" w:rsidRPr="000E05A8">
        <w:rPr>
          <w:spacing w:val="-2"/>
          <w:sz w:val="22"/>
          <w:szCs w:val="22"/>
          <w:lang w:val="uk-UA"/>
        </w:rPr>
        <w:t>.</w:t>
      </w:r>
    </w:p>
    <w:p w14:paraId="6DE6AB3F" w14:textId="77777777" w:rsidR="00DF0F8D" w:rsidRPr="000E05A8" w:rsidRDefault="00DF0F8D" w:rsidP="00EC0F83">
      <w:pPr>
        <w:shd w:val="clear" w:color="auto" w:fill="FFFFFF"/>
        <w:ind w:firstLine="709"/>
        <w:jc w:val="both"/>
        <w:outlineLvl w:val="0"/>
        <w:rPr>
          <w:spacing w:val="-2"/>
          <w:sz w:val="22"/>
          <w:szCs w:val="22"/>
          <w:lang w:val="uk-UA"/>
        </w:rPr>
      </w:pPr>
    </w:p>
    <w:p w14:paraId="12E311CA" w14:textId="370976E7" w:rsidR="00752554" w:rsidRPr="000E05A8" w:rsidRDefault="0000574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6.</w:t>
      </w:r>
      <w:r w:rsidR="007826E7" w:rsidRPr="000E05A8">
        <w:rPr>
          <w:b/>
          <w:bCs/>
          <w:i/>
          <w:spacing w:val="-2"/>
          <w:sz w:val="22"/>
          <w:szCs w:val="22"/>
          <w:lang w:val="uk-UA"/>
        </w:rPr>
        <w:t>3</w:t>
      </w:r>
      <w:r w:rsidRPr="000E05A8">
        <w:rPr>
          <w:b/>
          <w:bCs/>
          <w:i/>
          <w:spacing w:val="-2"/>
          <w:sz w:val="22"/>
          <w:szCs w:val="22"/>
          <w:lang w:val="uk-UA"/>
        </w:rPr>
        <w:t>. Оренда</w:t>
      </w:r>
      <w:r w:rsidR="00BF1F1B" w:rsidRPr="000E05A8">
        <w:rPr>
          <w:b/>
          <w:bCs/>
          <w:i/>
          <w:spacing w:val="-2"/>
          <w:sz w:val="22"/>
          <w:szCs w:val="22"/>
          <w:lang w:val="uk-UA"/>
        </w:rPr>
        <w:t>. Інші необоротні активи.</w:t>
      </w:r>
    </w:p>
    <w:p w14:paraId="3D59C079" w14:textId="5B62F69C" w:rsidR="00CB476E" w:rsidRPr="000E05A8" w:rsidRDefault="00005744" w:rsidP="00005744">
      <w:pPr>
        <w:shd w:val="clear" w:color="auto" w:fill="FFFFFF"/>
        <w:autoSpaceDE w:val="0"/>
        <w:autoSpaceDN w:val="0"/>
        <w:adjustRightInd w:val="0"/>
        <w:ind w:firstLine="709"/>
        <w:jc w:val="both"/>
        <w:rPr>
          <w:sz w:val="22"/>
          <w:szCs w:val="22"/>
          <w:lang w:val="uk-UA"/>
        </w:rPr>
      </w:pPr>
      <w:r w:rsidRPr="000E05A8">
        <w:rPr>
          <w:sz w:val="22"/>
          <w:szCs w:val="22"/>
          <w:lang w:val="uk-UA"/>
        </w:rPr>
        <w:t xml:space="preserve">В </w:t>
      </w:r>
      <w:r w:rsidR="00D05A96" w:rsidRPr="000E05A8">
        <w:rPr>
          <w:sz w:val="22"/>
          <w:szCs w:val="22"/>
          <w:lang w:val="uk-UA"/>
        </w:rPr>
        <w:t>серпн</w:t>
      </w:r>
      <w:r w:rsidR="00710F95" w:rsidRPr="000E05A8">
        <w:rPr>
          <w:sz w:val="22"/>
          <w:szCs w:val="22"/>
          <w:lang w:val="uk-UA"/>
        </w:rPr>
        <w:t>і 2020</w:t>
      </w:r>
      <w:r w:rsidRPr="000E05A8">
        <w:rPr>
          <w:sz w:val="22"/>
          <w:szCs w:val="22"/>
          <w:lang w:val="uk-UA"/>
        </w:rPr>
        <w:t xml:space="preserve"> року було укладено </w:t>
      </w:r>
      <w:r w:rsidR="001F2042" w:rsidRPr="000E05A8">
        <w:rPr>
          <w:sz w:val="22"/>
          <w:szCs w:val="22"/>
          <w:lang w:val="uk-UA"/>
        </w:rPr>
        <w:t>Д</w:t>
      </w:r>
      <w:r w:rsidRPr="000E05A8">
        <w:rPr>
          <w:sz w:val="22"/>
          <w:szCs w:val="22"/>
          <w:lang w:val="uk-UA"/>
        </w:rPr>
        <w:t>оговір</w:t>
      </w:r>
      <w:r w:rsidR="001F2042" w:rsidRPr="000E05A8">
        <w:rPr>
          <w:sz w:val="22"/>
          <w:szCs w:val="22"/>
          <w:lang w:val="uk-UA"/>
        </w:rPr>
        <w:t xml:space="preserve"> суборенди</w:t>
      </w:r>
      <w:r w:rsidRPr="000E05A8">
        <w:rPr>
          <w:sz w:val="22"/>
          <w:szCs w:val="22"/>
          <w:lang w:val="uk-UA"/>
        </w:rPr>
        <w:t xml:space="preserve"> нежилого приміщення</w:t>
      </w:r>
      <w:r w:rsidR="00693FD7" w:rsidRPr="000E05A8">
        <w:rPr>
          <w:sz w:val="22"/>
          <w:szCs w:val="22"/>
          <w:lang w:val="uk-UA"/>
        </w:rPr>
        <w:t xml:space="preserve"> </w:t>
      </w:r>
      <w:r w:rsidR="00693FD7" w:rsidRPr="000E05A8">
        <w:rPr>
          <w:color w:val="000000"/>
          <w:sz w:val="22"/>
          <w:szCs w:val="22"/>
          <w:shd w:val="clear" w:color="auto" w:fill="FFFFFF"/>
          <w:lang w:val="uk-UA"/>
        </w:rPr>
        <w:t>№</w:t>
      </w:r>
      <w:r w:rsidR="00693FD7" w:rsidRPr="000E05A8">
        <w:rPr>
          <w:bCs/>
          <w:sz w:val="22"/>
          <w:szCs w:val="22"/>
          <w:lang w:val="uk-UA"/>
        </w:rPr>
        <w:t xml:space="preserve">19/262/1-2-3 </w:t>
      </w:r>
      <w:r w:rsidR="00693FD7" w:rsidRPr="000E05A8">
        <w:rPr>
          <w:color w:val="000000"/>
          <w:sz w:val="22"/>
          <w:szCs w:val="22"/>
          <w:shd w:val="clear" w:color="auto" w:fill="FFFFFF"/>
          <w:lang w:val="uk-UA"/>
        </w:rPr>
        <w:t xml:space="preserve">від </w:t>
      </w:r>
      <w:r w:rsidR="006B674D" w:rsidRPr="000E05A8">
        <w:rPr>
          <w:color w:val="000000"/>
          <w:sz w:val="22"/>
          <w:szCs w:val="22"/>
          <w:shd w:val="clear" w:color="auto" w:fill="FFFFFF"/>
          <w:lang w:val="uk-UA"/>
        </w:rPr>
        <w:t>31</w:t>
      </w:r>
      <w:r w:rsidR="006048BC" w:rsidRPr="000E05A8">
        <w:rPr>
          <w:color w:val="000000"/>
          <w:sz w:val="22"/>
          <w:szCs w:val="22"/>
          <w:shd w:val="clear" w:color="auto" w:fill="FFFFFF"/>
          <w:lang w:val="uk-UA"/>
        </w:rPr>
        <w:t>.</w:t>
      </w:r>
      <w:r w:rsidR="006B674D" w:rsidRPr="000E05A8">
        <w:rPr>
          <w:color w:val="000000"/>
          <w:sz w:val="22"/>
          <w:szCs w:val="22"/>
          <w:shd w:val="clear" w:color="auto" w:fill="FFFFFF"/>
          <w:lang w:val="uk-UA"/>
        </w:rPr>
        <w:t>08</w:t>
      </w:r>
      <w:r w:rsidR="006048BC" w:rsidRPr="000E05A8">
        <w:rPr>
          <w:color w:val="000000"/>
          <w:sz w:val="22"/>
          <w:szCs w:val="22"/>
          <w:shd w:val="clear" w:color="auto" w:fill="FFFFFF"/>
          <w:lang w:val="uk-UA"/>
        </w:rPr>
        <w:t>.202</w:t>
      </w:r>
      <w:r w:rsidR="006B674D" w:rsidRPr="000E05A8">
        <w:rPr>
          <w:color w:val="000000"/>
          <w:sz w:val="22"/>
          <w:szCs w:val="22"/>
          <w:shd w:val="clear" w:color="auto" w:fill="FFFFFF"/>
          <w:lang w:val="uk-UA"/>
        </w:rPr>
        <w:t>0</w:t>
      </w:r>
      <w:r w:rsidR="00693FD7" w:rsidRPr="000E05A8">
        <w:rPr>
          <w:color w:val="000000"/>
          <w:sz w:val="22"/>
          <w:szCs w:val="22"/>
          <w:shd w:val="clear" w:color="auto" w:fill="FFFFFF"/>
          <w:lang w:val="uk-UA"/>
        </w:rPr>
        <w:t>р.</w:t>
      </w:r>
      <w:r w:rsidR="00693FD7" w:rsidRPr="000E05A8">
        <w:rPr>
          <w:sz w:val="22"/>
          <w:szCs w:val="22"/>
          <w:lang w:val="uk-UA"/>
        </w:rPr>
        <w:t xml:space="preserve"> </w:t>
      </w:r>
      <w:r w:rsidR="00721710" w:rsidRPr="000E05A8">
        <w:rPr>
          <w:sz w:val="22"/>
          <w:szCs w:val="22"/>
          <w:lang w:val="uk-UA"/>
        </w:rPr>
        <w:t xml:space="preserve">(далі </w:t>
      </w:r>
      <w:r w:rsidR="001041A6" w:rsidRPr="000E05A8">
        <w:rPr>
          <w:sz w:val="22"/>
          <w:szCs w:val="22"/>
          <w:lang w:val="uk-UA"/>
        </w:rPr>
        <w:t>–</w:t>
      </w:r>
      <w:r w:rsidR="00721710" w:rsidRPr="000E05A8">
        <w:rPr>
          <w:sz w:val="22"/>
          <w:szCs w:val="22"/>
          <w:lang w:val="uk-UA"/>
        </w:rPr>
        <w:t xml:space="preserve"> Договір</w:t>
      </w:r>
      <w:r w:rsidR="001041A6" w:rsidRPr="000E05A8">
        <w:rPr>
          <w:sz w:val="22"/>
          <w:szCs w:val="22"/>
          <w:lang w:val="uk-UA"/>
        </w:rPr>
        <w:t xml:space="preserve"> суборенди)</w:t>
      </w:r>
      <w:r w:rsidRPr="000E05A8">
        <w:rPr>
          <w:sz w:val="22"/>
          <w:szCs w:val="22"/>
          <w:lang w:val="uk-UA"/>
        </w:rPr>
        <w:t xml:space="preserve"> загальною площею </w:t>
      </w:r>
      <w:r w:rsidR="00710F95" w:rsidRPr="000E05A8">
        <w:rPr>
          <w:sz w:val="22"/>
          <w:szCs w:val="22"/>
          <w:lang w:val="uk-UA"/>
        </w:rPr>
        <w:t xml:space="preserve">35 </w:t>
      </w:r>
      <w:r w:rsidRPr="000E05A8">
        <w:rPr>
          <w:sz w:val="22"/>
          <w:szCs w:val="22"/>
          <w:lang w:val="uk-UA"/>
        </w:rPr>
        <w:t xml:space="preserve"> кв. м, розташованого за адресою: </w:t>
      </w:r>
      <w:r w:rsidR="00710F95" w:rsidRPr="000E05A8">
        <w:rPr>
          <w:sz w:val="22"/>
          <w:szCs w:val="22"/>
          <w:lang w:val="uk-UA"/>
        </w:rPr>
        <w:t>Україна, 01601, місто Київ, вул.</w:t>
      </w:r>
      <w:r w:rsidR="00511720" w:rsidRPr="000E05A8">
        <w:rPr>
          <w:sz w:val="22"/>
          <w:szCs w:val="22"/>
          <w:lang w:val="uk-UA"/>
        </w:rPr>
        <w:t xml:space="preserve"> </w:t>
      </w:r>
      <w:r w:rsidR="00710F95" w:rsidRPr="000E05A8">
        <w:rPr>
          <w:sz w:val="22"/>
          <w:szCs w:val="22"/>
          <w:lang w:val="uk-UA"/>
        </w:rPr>
        <w:t>Мечнікова, будинок 2А</w:t>
      </w:r>
      <w:r w:rsidRPr="000E05A8">
        <w:rPr>
          <w:sz w:val="22"/>
          <w:szCs w:val="22"/>
          <w:lang w:val="uk-UA"/>
        </w:rPr>
        <w:t xml:space="preserve">  (</w:t>
      </w:r>
      <w:r w:rsidR="00B511BC" w:rsidRPr="000E05A8">
        <w:rPr>
          <w:sz w:val="22"/>
          <w:szCs w:val="22"/>
          <w:lang w:val="uk-UA"/>
        </w:rPr>
        <w:t xml:space="preserve">залишок </w:t>
      </w:r>
      <w:r w:rsidRPr="000E05A8">
        <w:rPr>
          <w:sz w:val="22"/>
          <w:szCs w:val="22"/>
          <w:lang w:val="uk-UA"/>
        </w:rPr>
        <w:t>строк</w:t>
      </w:r>
      <w:r w:rsidR="00B511BC" w:rsidRPr="000E05A8">
        <w:rPr>
          <w:sz w:val="22"/>
          <w:szCs w:val="22"/>
          <w:lang w:val="uk-UA"/>
        </w:rPr>
        <w:t>у</w:t>
      </w:r>
      <w:r w:rsidRPr="000E05A8">
        <w:rPr>
          <w:sz w:val="22"/>
          <w:szCs w:val="22"/>
          <w:lang w:val="uk-UA"/>
        </w:rPr>
        <w:t xml:space="preserve"> оренди</w:t>
      </w:r>
      <w:r w:rsidR="00B511BC" w:rsidRPr="000E05A8">
        <w:rPr>
          <w:sz w:val="22"/>
          <w:szCs w:val="22"/>
          <w:lang w:val="uk-UA"/>
        </w:rPr>
        <w:t xml:space="preserve"> </w:t>
      </w:r>
      <w:r w:rsidR="00EB585D" w:rsidRPr="000E05A8">
        <w:rPr>
          <w:sz w:val="22"/>
          <w:szCs w:val="22"/>
          <w:lang w:val="uk-UA"/>
        </w:rPr>
        <w:t xml:space="preserve">станом </w:t>
      </w:r>
      <w:r w:rsidR="00B511BC" w:rsidRPr="000E05A8">
        <w:rPr>
          <w:sz w:val="22"/>
          <w:szCs w:val="22"/>
          <w:lang w:val="uk-UA"/>
        </w:rPr>
        <w:t xml:space="preserve">на </w:t>
      </w:r>
      <w:r w:rsidR="00980979" w:rsidRPr="000E05A8">
        <w:rPr>
          <w:sz w:val="22"/>
          <w:szCs w:val="22"/>
          <w:lang w:val="uk-UA"/>
        </w:rPr>
        <w:t>31.03.2021</w:t>
      </w:r>
      <w:r w:rsidR="005007F2" w:rsidRPr="000E05A8">
        <w:rPr>
          <w:sz w:val="22"/>
          <w:szCs w:val="22"/>
          <w:lang w:val="uk-UA"/>
        </w:rPr>
        <w:t>р.</w:t>
      </w:r>
      <w:r w:rsidRPr="000E05A8">
        <w:rPr>
          <w:sz w:val="22"/>
          <w:szCs w:val="22"/>
          <w:lang w:val="uk-UA"/>
        </w:rPr>
        <w:t xml:space="preserve"> – </w:t>
      </w:r>
      <w:r w:rsidR="005007F2" w:rsidRPr="000E05A8">
        <w:rPr>
          <w:sz w:val="22"/>
          <w:szCs w:val="22"/>
          <w:lang w:val="uk-UA"/>
        </w:rPr>
        <w:t>до одного року</w:t>
      </w:r>
      <w:r w:rsidRPr="000E05A8">
        <w:rPr>
          <w:sz w:val="22"/>
          <w:szCs w:val="22"/>
          <w:lang w:val="uk-UA"/>
        </w:rPr>
        <w:t>, вартість</w:t>
      </w:r>
      <w:r w:rsidR="00E0140F" w:rsidRPr="000E05A8">
        <w:rPr>
          <w:sz w:val="22"/>
          <w:szCs w:val="22"/>
          <w:lang w:val="uk-UA"/>
        </w:rPr>
        <w:t xml:space="preserve"> оренди на залишок строку</w:t>
      </w:r>
      <w:r w:rsidRPr="000E05A8">
        <w:rPr>
          <w:sz w:val="22"/>
          <w:szCs w:val="22"/>
          <w:lang w:val="uk-UA"/>
        </w:rPr>
        <w:t xml:space="preserve"> - </w:t>
      </w:r>
      <w:r w:rsidR="00472BB3" w:rsidRPr="000E05A8">
        <w:rPr>
          <w:sz w:val="22"/>
          <w:szCs w:val="22"/>
          <w:lang w:val="uk-UA"/>
        </w:rPr>
        <w:t>18</w:t>
      </w:r>
      <w:r w:rsidR="00BF2AAA" w:rsidRPr="000E05A8">
        <w:rPr>
          <w:sz w:val="22"/>
          <w:szCs w:val="22"/>
          <w:lang w:val="uk-UA"/>
        </w:rPr>
        <w:t>4</w:t>
      </w:r>
      <w:r w:rsidRPr="000E05A8">
        <w:rPr>
          <w:sz w:val="22"/>
          <w:szCs w:val="22"/>
          <w:lang w:val="uk-UA"/>
        </w:rPr>
        <w:t xml:space="preserve"> тис. грн.). </w:t>
      </w:r>
    </w:p>
    <w:p w14:paraId="3A85BA86" w14:textId="503E133C" w:rsidR="00511720" w:rsidRPr="000E05A8" w:rsidRDefault="00CB476E" w:rsidP="00511720">
      <w:pPr>
        <w:shd w:val="clear" w:color="auto" w:fill="FFFFFF"/>
        <w:autoSpaceDE w:val="0"/>
        <w:autoSpaceDN w:val="0"/>
        <w:adjustRightInd w:val="0"/>
        <w:ind w:firstLine="709"/>
        <w:jc w:val="both"/>
        <w:rPr>
          <w:color w:val="000000"/>
          <w:sz w:val="22"/>
          <w:szCs w:val="22"/>
          <w:shd w:val="clear" w:color="auto" w:fill="FFFFFF"/>
          <w:lang w:val="uk-UA"/>
        </w:rPr>
      </w:pPr>
      <w:r w:rsidRPr="000E05A8">
        <w:rPr>
          <w:color w:val="000000"/>
          <w:sz w:val="22"/>
          <w:szCs w:val="22"/>
          <w:shd w:val="clear" w:color="auto" w:fill="FFFFFF"/>
          <w:lang w:val="uk-UA"/>
        </w:rPr>
        <w:t xml:space="preserve">Згідно вимог Договору суборенди до закінчення строку оренди залишилося </w:t>
      </w:r>
      <w:r w:rsidR="00703711" w:rsidRPr="000E05A8">
        <w:rPr>
          <w:color w:val="000000"/>
          <w:sz w:val="22"/>
          <w:szCs w:val="22"/>
          <w:shd w:val="clear" w:color="auto" w:fill="FFFFFF"/>
          <w:lang w:val="uk-UA"/>
        </w:rPr>
        <w:t>менше року</w:t>
      </w:r>
      <w:r w:rsidRPr="000E05A8">
        <w:rPr>
          <w:color w:val="000000"/>
          <w:sz w:val="22"/>
          <w:szCs w:val="22"/>
          <w:shd w:val="clear" w:color="auto" w:fill="FFFFFF"/>
          <w:lang w:val="uk-UA"/>
        </w:rPr>
        <w:t xml:space="preserve">, вартість предмету оренди становить </w:t>
      </w:r>
      <w:r w:rsidR="00703711" w:rsidRPr="000E05A8">
        <w:rPr>
          <w:color w:val="000000"/>
          <w:sz w:val="22"/>
          <w:szCs w:val="22"/>
          <w:shd w:val="clear" w:color="auto" w:fill="FFFFFF"/>
          <w:lang w:val="uk-UA"/>
        </w:rPr>
        <w:t>800</w:t>
      </w:r>
      <w:r w:rsidRPr="000E05A8">
        <w:rPr>
          <w:color w:val="000000"/>
          <w:sz w:val="22"/>
          <w:szCs w:val="22"/>
          <w:shd w:val="clear" w:color="auto" w:fill="FFFFFF"/>
          <w:lang w:val="uk-UA"/>
        </w:rPr>
        <w:t xml:space="preserve"> грн. </w:t>
      </w:r>
      <w:r w:rsidR="00511720" w:rsidRPr="000E05A8">
        <w:rPr>
          <w:color w:val="000000"/>
          <w:sz w:val="22"/>
          <w:szCs w:val="22"/>
          <w:shd w:val="clear" w:color="auto" w:fill="FFFFFF"/>
          <w:lang w:val="uk-UA"/>
        </w:rPr>
        <w:t xml:space="preserve">за 1 кв. м. нежитлового приміщення. </w:t>
      </w:r>
      <w:r w:rsidRPr="000E05A8">
        <w:rPr>
          <w:color w:val="000000"/>
          <w:sz w:val="22"/>
          <w:szCs w:val="22"/>
          <w:shd w:val="clear" w:color="auto" w:fill="FFFFFF"/>
          <w:lang w:val="uk-UA"/>
        </w:rPr>
        <w:t>Товариство КУА прийняло рішення не застосовувати вимоги параграфів 22-49 МСФЗ 16 «Оренда» до такої оренди за двома критеріями:</w:t>
      </w:r>
    </w:p>
    <w:p w14:paraId="2023C0C7" w14:textId="16A753B5" w:rsidR="00511720" w:rsidRPr="000E05A8" w:rsidRDefault="00CB476E" w:rsidP="00511720">
      <w:pPr>
        <w:shd w:val="clear" w:color="auto" w:fill="FFFFFF"/>
        <w:autoSpaceDE w:val="0"/>
        <w:autoSpaceDN w:val="0"/>
        <w:adjustRightInd w:val="0"/>
        <w:ind w:firstLine="709"/>
        <w:jc w:val="both"/>
        <w:rPr>
          <w:color w:val="000000"/>
          <w:sz w:val="22"/>
          <w:szCs w:val="22"/>
          <w:shd w:val="clear" w:color="auto" w:fill="FFFFFF"/>
          <w:lang w:val="uk-UA"/>
        </w:rPr>
      </w:pPr>
      <w:r w:rsidRPr="000E05A8">
        <w:rPr>
          <w:color w:val="000000"/>
          <w:sz w:val="22"/>
          <w:szCs w:val="22"/>
          <w:shd w:val="clear" w:color="auto" w:fill="FFFFFF"/>
          <w:lang w:val="uk-UA"/>
        </w:rPr>
        <w:t>- оренда є короткостроковою, пролонгація договору імовірна, але існує вірогідність розірвання договору оренди, тому що орендар не гарантує суборендарю в задовільнені його речових прав на новий строк; та</w:t>
      </w:r>
    </w:p>
    <w:p w14:paraId="18C4C62A" w14:textId="77777777" w:rsidR="00511720" w:rsidRPr="000E05A8" w:rsidRDefault="00CB476E" w:rsidP="00511720">
      <w:pPr>
        <w:shd w:val="clear" w:color="auto" w:fill="FFFFFF"/>
        <w:autoSpaceDE w:val="0"/>
        <w:autoSpaceDN w:val="0"/>
        <w:adjustRightInd w:val="0"/>
        <w:ind w:firstLine="709"/>
        <w:jc w:val="both"/>
        <w:rPr>
          <w:color w:val="000000"/>
          <w:sz w:val="22"/>
          <w:szCs w:val="22"/>
          <w:shd w:val="clear" w:color="auto" w:fill="FFFFFF"/>
          <w:lang w:val="uk-UA"/>
        </w:rPr>
      </w:pPr>
      <w:r w:rsidRPr="000E05A8">
        <w:rPr>
          <w:color w:val="000000"/>
          <w:sz w:val="22"/>
          <w:szCs w:val="22"/>
          <w:shd w:val="clear" w:color="auto" w:fill="FFFFFF"/>
          <w:lang w:val="uk-UA"/>
        </w:rPr>
        <w:t xml:space="preserve">- базовий актив має низьку вартість. </w:t>
      </w:r>
    </w:p>
    <w:p w14:paraId="1C9AA203" w14:textId="77777777" w:rsidR="002D4DCE" w:rsidRPr="000E05A8" w:rsidRDefault="00CB476E" w:rsidP="002D4DCE">
      <w:pPr>
        <w:shd w:val="clear" w:color="auto" w:fill="FFFFFF"/>
        <w:autoSpaceDE w:val="0"/>
        <w:autoSpaceDN w:val="0"/>
        <w:adjustRightInd w:val="0"/>
        <w:ind w:firstLine="709"/>
        <w:jc w:val="both"/>
        <w:rPr>
          <w:color w:val="000000"/>
          <w:sz w:val="22"/>
          <w:szCs w:val="22"/>
          <w:shd w:val="clear" w:color="auto" w:fill="FFFFFF"/>
          <w:lang w:val="uk-UA"/>
        </w:rPr>
      </w:pPr>
      <w:r w:rsidRPr="000E05A8">
        <w:rPr>
          <w:color w:val="000000"/>
          <w:sz w:val="22"/>
          <w:szCs w:val="22"/>
          <w:shd w:val="clear" w:color="auto" w:fill="FFFFFF"/>
          <w:lang w:val="uk-UA"/>
        </w:rPr>
        <w:t>Враховуючи вищевикладене, Товариство визнає орендні платежі, пов’язані з такою орендою, як витрати на прямолінійній основі протягом строку оренди.</w:t>
      </w:r>
    </w:p>
    <w:p w14:paraId="360829BA" w14:textId="0F597B89" w:rsidR="008C4BC1" w:rsidRPr="000E05A8" w:rsidRDefault="008C4BC1" w:rsidP="002D4DCE">
      <w:pPr>
        <w:shd w:val="clear" w:color="auto" w:fill="FFFFFF"/>
        <w:autoSpaceDE w:val="0"/>
        <w:autoSpaceDN w:val="0"/>
        <w:adjustRightInd w:val="0"/>
        <w:ind w:firstLine="709"/>
        <w:jc w:val="both"/>
        <w:rPr>
          <w:sz w:val="22"/>
          <w:szCs w:val="22"/>
          <w:lang w:val="uk-UA"/>
        </w:rPr>
      </w:pPr>
      <w:r w:rsidRPr="000E05A8">
        <w:rPr>
          <w:sz w:val="22"/>
          <w:szCs w:val="22"/>
          <w:lang w:val="uk-UA"/>
        </w:rPr>
        <w:t>Згідно з МСФЗ 16 Товариство розкриває інформацію про наступні суми за звітний період:</w:t>
      </w:r>
    </w:p>
    <w:p w14:paraId="76E4E2F9" w14:textId="274CD14F" w:rsidR="00DB5176" w:rsidRPr="000E05A8" w:rsidRDefault="00DB5176" w:rsidP="00DB5176">
      <w:pPr>
        <w:shd w:val="clear" w:color="auto" w:fill="FFFFFF"/>
        <w:autoSpaceDE w:val="0"/>
        <w:autoSpaceDN w:val="0"/>
        <w:adjustRightInd w:val="0"/>
        <w:ind w:firstLine="709"/>
        <w:jc w:val="right"/>
        <w:rPr>
          <w:color w:val="000000"/>
          <w:sz w:val="22"/>
          <w:szCs w:val="22"/>
          <w:shd w:val="clear" w:color="auto" w:fill="FFFFFF"/>
          <w:lang w:val="uk-UA"/>
        </w:rPr>
      </w:pPr>
      <w:r w:rsidRPr="000E05A8">
        <w:rPr>
          <w:sz w:val="22"/>
          <w:szCs w:val="22"/>
        </w:rPr>
        <w:t>(тис. грн)</w:t>
      </w:r>
    </w:p>
    <w:tbl>
      <w:tblPr>
        <w:tblW w:w="9875" w:type="dxa"/>
        <w:tblInd w:w="40" w:type="dxa"/>
        <w:tblLayout w:type="fixed"/>
        <w:tblCellMar>
          <w:left w:w="40" w:type="dxa"/>
          <w:right w:w="40" w:type="dxa"/>
        </w:tblCellMar>
        <w:tblLook w:val="04A0" w:firstRow="1" w:lastRow="0" w:firstColumn="1" w:lastColumn="0" w:noHBand="0" w:noVBand="1"/>
      </w:tblPr>
      <w:tblGrid>
        <w:gridCol w:w="7890"/>
        <w:gridCol w:w="1985"/>
      </w:tblGrid>
      <w:tr w:rsidR="00DB5176" w:rsidRPr="008D1B3A" w14:paraId="6E4DBDAC" w14:textId="7AB15CF1" w:rsidTr="00DB5176">
        <w:trPr>
          <w:trHeight w:hRule="exact" w:val="668"/>
        </w:trPr>
        <w:tc>
          <w:tcPr>
            <w:tcW w:w="7890" w:type="dxa"/>
            <w:tcBorders>
              <w:top w:val="single" w:sz="6" w:space="0" w:color="auto"/>
              <w:left w:val="single" w:sz="6" w:space="0" w:color="auto"/>
              <w:bottom w:val="single" w:sz="6" w:space="0" w:color="auto"/>
              <w:right w:val="single" w:sz="6" w:space="0" w:color="auto"/>
            </w:tcBorders>
            <w:shd w:val="clear" w:color="auto" w:fill="FFFFFF"/>
          </w:tcPr>
          <w:p w14:paraId="0F07E870" w14:textId="77777777" w:rsidR="00DB5176" w:rsidRPr="008D1B3A" w:rsidRDefault="00DB5176" w:rsidP="00C87439">
            <w:pPr>
              <w:shd w:val="clear" w:color="auto" w:fill="FFFFFF"/>
              <w:rPr>
                <w:sz w:val="20"/>
                <w:szCs w:val="20"/>
                <w:highlight w:val="yellow"/>
                <w:lang w:val="uk-UA"/>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3D6CD8D8" w14:textId="2286EFE3" w:rsidR="00DB5176" w:rsidRPr="008D1B3A" w:rsidRDefault="00DB5176" w:rsidP="00C87439">
            <w:pPr>
              <w:shd w:val="clear" w:color="auto" w:fill="FFFFFF"/>
              <w:ind w:left="110"/>
              <w:rPr>
                <w:sz w:val="20"/>
                <w:szCs w:val="20"/>
              </w:rPr>
            </w:pPr>
            <w:r w:rsidRPr="008D1B3A">
              <w:rPr>
                <w:sz w:val="20"/>
                <w:szCs w:val="20"/>
              </w:rPr>
              <w:t xml:space="preserve">На 31.03.2021 р. </w:t>
            </w:r>
          </w:p>
          <w:p w14:paraId="13C7AD3D" w14:textId="0B7F2220" w:rsidR="00DB5176" w:rsidRPr="008D1B3A" w:rsidRDefault="00DB5176" w:rsidP="00C87439">
            <w:pPr>
              <w:shd w:val="clear" w:color="auto" w:fill="FFFFFF"/>
              <w:rPr>
                <w:sz w:val="20"/>
                <w:szCs w:val="20"/>
                <w:highlight w:val="yellow"/>
              </w:rPr>
            </w:pPr>
            <w:r w:rsidRPr="008D1B3A">
              <w:rPr>
                <w:sz w:val="20"/>
                <w:szCs w:val="20"/>
              </w:rPr>
              <w:t xml:space="preserve">       </w:t>
            </w:r>
          </w:p>
        </w:tc>
      </w:tr>
      <w:tr w:rsidR="00DB5176" w:rsidRPr="008D1B3A" w14:paraId="304BA9A1" w14:textId="0CEA6AD8" w:rsidTr="008D1B3A">
        <w:trPr>
          <w:trHeight w:hRule="exact" w:val="504"/>
        </w:trPr>
        <w:tc>
          <w:tcPr>
            <w:tcW w:w="7890" w:type="dxa"/>
            <w:tcBorders>
              <w:top w:val="single" w:sz="6" w:space="0" w:color="auto"/>
              <w:left w:val="single" w:sz="6" w:space="0" w:color="auto"/>
              <w:bottom w:val="single" w:sz="6" w:space="0" w:color="auto"/>
              <w:right w:val="single" w:sz="6" w:space="0" w:color="auto"/>
            </w:tcBorders>
            <w:shd w:val="clear" w:color="auto" w:fill="FFFFFF"/>
            <w:hideMark/>
          </w:tcPr>
          <w:p w14:paraId="38B58CD5" w14:textId="1ED0621A" w:rsidR="00DB5176" w:rsidRPr="008D1B3A" w:rsidRDefault="00DB5176" w:rsidP="004B0B05">
            <w:pPr>
              <w:shd w:val="clear" w:color="auto" w:fill="FFFFFF"/>
              <w:rPr>
                <w:sz w:val="20"/>
                <w:szCs w:val="20"/>
                <w:lang w:val="uk-UA"/>
              </w:rPr>
            </w:pPr>
            <w:r w:rsidRPr="008D1B3A">
              <w:rPr>
                <w:color w:val="222222"/>
                <w:sz w:val="20"/>
                <w:szCs w:val="20"/>
              </w:rPr>
              <w:t>Витрати, пов’язані з короткостроковою орендою</w:t>
            </w:r>
            <w:r w:rsidRPr="008D1B3A">
              <w:rPr>
                <w:color w:val="222222"/>
                <w:sz w:val="20"/>
                <w:szCs w:val="20"/>
                <w:lang w:val="uk-UA"/>
              </w:rPr>
              <w:t xml:space="preserve"> приміщення за період з 01 січня 2021 року по 31 березня 2021 року</w:t>
            </w: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7E88A11" w14:textId="31798AD9" w:rsidR="00DB5176" w:rsidRPr="008D1B3A" w:rsidRDefault="00DB5176" w:rsidP="00C87439">
            <w:pPr>
              <w:shd w:val="clear" w:color="auto" w:fill="FFFFFF"/>
              <w:ind w:left="629"/>
              <w:rPr>
                <w:sz w:val="20"/>
                <w:szCs w:val="20"/>
                <w:lang w:val="uk-UA"/>
              </w:rPr>
            </w:pPr>
            <w:r w:rsidRPr="008D1B3A">
              <w:rPr>
                <w:sz w:val="20"/>
                <w:szCs w:val="20"/>
                <w:lang w:val="uk-UA"/>
              </w:rPr>
              <w:t>110</w:t>
            </w:r>
          </w:p>
          <w:p w14:paraId="1F057AFB" w14:textId="51887E1E" w:rsidR="00DB5176" w:rsidRPr="008D1B3A" w:rsidRDefault="00DB5176" w:rsidP="00C87439">
            <w:pPr>
              <w:shd w:val="clear" w:color="auto" w:fill="FFFFFF"/>
              <w:ind w:left="629"/>
              <w:rPr>
                <w:sz w:val="20"/>
                <w:szCs w:val="20"/>
                <w:lang w:val="uk-UA"/>
              </w:rPr>
            </w:pPr>
          </w:p>
        </w:tc>
      </w:tr>
    </w:tbl>
    <w:p w14:paraId="0BACB2A1" w14:textId="77777777" w:rsidR="00005744" w:rsidRPr="000E05A8" w:rsidRDefault="00005744" w:rsidP="00343B28">
      <w:pPr>
        <w:shd w:val="clear" w:color="auto" w:fill="FFFFFF"/>
        <w:jc w:val="both"/>
        <w:outlineLvl w:val="0"/>
        <w:rPr>
          <w:b/>
          <w:bCs/>
          <w:i/>
          <w:spacing w:val="-2"/>
          <w:sz w:val="22"/>
          <w:szCs w:val="22"/>
          <w:lang w:val="uk-UA"/>
        </w:rPr>
      </w:pPr>
    </w:p>
    <w:p w14:paraId="0384AD28" w14:textId="290E7D1C" w:rsidR="00FB38A4" w:rsidRPr="000E05A8" w:rsidRDefault="00752554" w:rsidP="007443CA">
      <w:pPr>
        <w:shd w:val="clear" w:color="auto" w:fill="FFFFFF"/>
        <w:ind w:firstLine="709"/>
        <w:jc w:val="both"/>
        <w:outlineLvl w:val="0"/>
        <w:rPr>
          <w:b/>
          <w:bCs/>
          <w:i/>
          <w:spacing w:val="-2"/>
          <w:sz w:val="22"/>
          <w:szCs w:val="22"/>
          <w:lang w:val="uk-UA"/>
        </w:rPr>
      </w:pPr>
      <w:r w:rsidRPr="000E05A8">
        <w:rPr>
          <w:b/>
          <w:bCs/>
          <w:i/>
          <w:spacing w:val="-2"/>
          <w:sz w:val="22"/>
          <w:szCs w:val="22"/>
          <w:lang w:val="uk-UA"/>
        </w:rPr>
        <w:t>6.</w:t>
      </w:r>
      <w:r w:rsidR="007826E7" w:rsidRPr="000E05A8">
        <w:rPr>
          <w:b/>
          <w:bCs/>
          <w:i/>
          <w:spacing w:val="-2"/>
          <w:sz w:val="22"/>
          <w:szCs w:val="22"/>
          <w:lang w:val="uk-UA"/>
        </w:rPr>
        <w:t>4</w:t>
      </w:r>
      <w:r w:rsidRPr="000E05A8">
        <w:rPr>
          <w:b/>
          <w:bCs/>
          <w:i/>
          <w:spacing w:val="-2"/>
          <w:sz w:val="22"/>
          <w:szCs w:val="22"/>
          <w:lang w:val="uk-UA"/>
        </w:rPr>
        <w:t xml:space="preserve">. </w:t>
      </w:r>
      <w:r w:rsidR="00FB38A4" w:rsidRPr="000E05A8">
        <w:rPr>
          <w:b/>
          <w:bCs/>
          <w:i/>
          <w:spacing w:val="-2"/>
          <w:sz w:val="22"/>
          <w:szCs w:val="22"/>
          <w:lang w:val="uk-UA"/>
        </w:rPr>
        <w:t>Основні засоби</w:t>
      </w:r>
    </w:p>
    <w:p w14:paraId="6BBE528C" w14:textId="13EFE73C" w:rsidR="00E00E60" w:rsidRPr="000E05A8" w:rsidRDefault="00FB38A4" w:rsidP="00E00E60">
      <w:pPr>
        <w:shd w:val="clear" w:color="auto" w:fill="FFFFFF"/>
        <w:ind w:firstLine="709"/>
        <w:jc w:val="both"/>
        <w:outlineLvl w:val="0"/>
        <w:rPr>
          <w:spacing w:val="-2"/>
          <w:sz w:val="22"/>
          <w:szCs w:val="22"/>
          <w:lang w:val="uk-UA"/>
        </w:rPr>
      </w:pPr>
      <w:r w:rsidRPr="000E05A8">
        <w:rPr>
          <w:b/>
          <w:bCs/>
          <w:i/>
          <w:spacing w:val="-2"/>
          <w:sz w:val="22"/>
          <w:szCs w:val="22"/>
          <w:lang w:val="uk-UA"/>
        </w:rPr>
        <w:t xml:space="preserve"> </w:t>
      </w:r>
      <w:r w:rsidR="00E00E60" w:rsidRPr="000E05A8">
        <w:rPr>
          <w:spacing w:val="-2"/>
          <w:sz w:val="22"/>
          <w:szCs w:val="22"/>
          <w:lang w:val="uk-UA"/>
        </w:rPr>
        <w:t xml:space="preserve">В поточному періоді Товариство не проводило переоцінок основних засобів і перерахунку корисності об’єктів. </w:t>
      </w:r>
    </w:p>
    <w:p w14:paraId="47A24B04" w14:textId="75FD0E1E" w:rsidR="001B18AD" w:rsidRPr="000E05A8" w:rsidRDefault="00E00E60" w:rsidP="001B18AD">
      <w:pPr>
        <w:shd w:val="clear" w:color="auto" w:fill="FFFFFF"/>
        <w:ind w:firstLine="709"/>
        <w:jc w:val="both"/>
        <w:outlineLvl w:val="0"/>
        <w:rPr>
          <w:spacing w:val="-2"/>
          <w:sz w:val="22"/>
          <w:szCs w:val="22"/>
          <w:lang w:val="uk-UA"/>
        </w:rPr>
      </w:pPr>
      <w:r w:rsidRPr="000E05A8">
        <w:rPr>
          <w:spacing w:val="-2"/>
          <w:sz w:val="22"/>
          <w:szCs w:val="22"/>
          <w:lang w:val="uk-UA"/>
        </w:rPr>
        <w:t xml:space="preserve">Вартість основних засобів, що перебувають на балансі станом на </w:t>
      </w:r>
      <w:r w:rsidR="00980979" w:rsidRPr="000E05A8">
        <w:rPr>
          <w:spacing w:val="-2"/>
          <w:sz w:val="22"/>
          <w:szCs w:val="22"/>
          <w:lang w:val="uk-UA"/>
        </w:rPr>
        <w:t>31.03.2021</w:t>
      </w:r>
      <w:r w:rsidRPr="000E05A8">
        <w:rPr>
          <w:spacing w:val="-2"/>
          <w:sz w:val="22"/>
          <w:szCs w:val="22"/>
          <w:lang w:val="uk-UA"/>
        </w:rPr>
        <w:t xml:space="preserve"> року -  </w:t>
      </w:r>
      <w:r w:rsidR="005C0FBD" w:rsidRPr="000E05A8">
        <w:rPr>
          <w:iCs/>
          <w:spacing w:val="-2"/>
          <w:sz w:val="22"/>
          <w:szCs w:val="22"/>
          <w:lang w:val="uk-UA"/>
        </w:rPr>
        <w:t>4</w:t>
      </w:r>
      <w:r w:rsidR="003706EC" w:rsidRPr="000E05A8">
        <w:rPr>
          <w:iCs/>
          <w:spacing w:val="-2"/>
          <w:sz w:val="22"/>
          <w:szCs w:val="22"/>
          <w:lang w:val="uk-UA"/>
        </w:rPr>
        <w:t>1</w:t>
      </w:r>
      <w:r w:rsidRPr="000E05A8">
        <w:rPr>
          <w:spacing w:val="-2"/>
          <w:sz w:val="22"/>
          <w:szCs w:val="22"/>
          <w:lang w:val="uk-UA"/>
        </w:rPr>
        <w:t xml:space="preserve"> тис. </w:t>
      </w:r>
      <w:r w:rsidRPr="000E05A8">
        <w:rPr>
          <w:iCs/>
          <w:spacing w:val="-2"/>
          <w:sz w:val="22"/>
          <w:szCs w:val="22"/>
          <w:lang w:val="uk-UA"/>
        </w:rPr>
        <w:t>гр</w:t>
      </w:r>
      <w:r w:rsidR="0029701B" w:rsidRPr="000E05A8">
        <w:rPr>
          <w:iCs/>
          <w:spacing w:val="-2"/>
          <w:sz w:val="22"/>
          <w:szCs w:val="22"/>
          <w:lang w:val="uk-UA"/>
        </w:rPr>
        <w:t xml:space="preserve">н. </w:t>
      </w:r>
      <w:r w:rsidR="00B030AD" w:rsidRPr="000E05A8">
        <w:rPr>
          <w:iCs/>
          <w:spacing w:val="-2"/>
          <w:sz w:val="22"/>
          <w:szCs w:val="22"/>
          <w:lang w:val="uk-UA"/>
        </w:rPr>
        <w:t xml:space="preserve">Основні </w:t>
      </w:r>
      <w:r w:rsidR="007B662F" w:rsidRPr="000E05A8">
        <w:rPr>
          <w:iCs/>
          <w:spacing w:val="-2"/>
          <w:sz w:val="22"/>
          <w:szCs w:val="22"/>
          <w:lang w:val="uk-UA"/>
        </w:rPr>
        <w:t xml:space="preserve">засоби </w:t>
      </w:r>
      <w:r w:rsidR="00211961" w:rsidRPr="000E05A8">
        <w:rPr>
          <w:iCs/>
          <w:spacing w:val="-2"/>
          <w:sz w:val="22"/>
          <w:szCs w:val="22"/>
          <w:lang w:val="uk-UA"/>
        </w:rPr>
        <w:t>обліковуються на таких групах</w:t>
      </w:r>
      <w:r w:rsidR="00D62715" w:rsidRPr="000E05A8">
        <w:rPr>
          <w:iCs/>
          <w:spacing w:val="-2"/>
          <w:sz w:val="22"/>
          <w:szCs w:val="22"/>
          <w:lang w:val="uk-UA"/>
        </w:rPr>
        <w:t>:</w:t>
      </w:r>
    </w:p>
    <w:p w14:paraId="3EE88C0C" w14:textId="419296EB" w:rsidR="00D62715" w:rsidRPr="000E05A8" w:rsidRDefault="00B5642C" w:rsidP="005C7FDF">
      <w:pPr>
        <w:shd w:val="clear" w:color="auto" w:fill="FFFFFF"/>
        <w:ind w:firstLine="709"/>
        <w:jc w:val="both"/>
        <w:outlineLvl w:val="0"/>
        <w:rPr>
          <w:spacing w:val="-2"/>
          <w:sz w:val="22"/>
          <w:szCs w:val="22"/>
          <w:u w:val="single"/>
          <w:lang w:val="uk-UA"/>
        </w:rPr>
      </w:pPr>
      <w:r w:rsidRPr="000E05A8">
        <w:rPr>
          <w:spacing w:val="-2"/>
          <w:sz w:val="22"/>
          <w:szCs w:val="22"/>
          <w:u w:val="single"/>
          <w:lang w:val="uk-UA"/>
        </w:rPr>
        <w:t>104 «</w:t>
      </w:r>
      <w:r w:rsidR="00CD71B4" w:rsidRPr="000E05A8">
        <w:rPr>
          <w:spacing w:val="-2"/>
          <w:sz w:val="22"/>
          <w:szCs w:val="22"/>
          <w:u w:val="single"/>
          <w:lang w:val="uk-UA"/>
        </w:rPr>
        <w:t>Машини та обладнання»</w:t>
      </w:r>
      <w:r w:rsidR="00883CB1" w:rsidRPr="000E05A8">
        <w:rPr>
          <w:spacing w:val="-2"/>
          <w:sz w:val="22"/>
          <w:szCs w:val="22"/>
          <w:u w:val="single"/>
          <w:lang w:val="uk-UA"/>
        </w:rPr>
        <w:t xml:space="preserve"> - </w:t>
      </w:r>
      <w:r w:rsidR="00D461F9" w:rsidRPr="000E05A8">
        <w:rPr>
          <w:iCs/>
          <w:spacing w:val="-2"/>
          <w:sz w:val="22"/>
          <w:szCs w:val="22"/>
          <w:u w:val="single"/>
          <w:lang w:val="uk-UA"/>
        </w:rPr>
        <w:t>4</w:t>
      </w:r>
      <w:r w:rsidR="00B86554" w:rsidRPr="000E05A8">
        <w:rPr>
          <w:iCs/>
          <w:spacing w:val="-2"/>
          <w:sz w:val="22"/>
          <w:szCs w:val="22"/>
          <w:u w:val="single"/>
          <w:lang w:val="uk-UA"/>
        </w:rPr>
        <w:t>1</w:t>
      </w:r>
      <w:r w:rsidR="00D461F9" w:rsidRPr="000E05A8">
        <w:rPr>
          <w:spacing w:val="-2"/>
          <w:sz w:val="22"/>
          <w:szCs w:val="22"/>
          <w:u w:val="single"/>
          <w:lang w:val="uk-UA"/>
        </w:rPr>
        <w:t xml:space="preserve"> тис. грн.</w:t>
      </w:r>
    </w:p>
    <w:p w14:paraId="3824A5B4" w14:textId="0302A6C0" w:rsidR="00E00E60" w:rsidRPr="000E05A8" w:rsidRDefault="00E00E60" w:rsidP="00A523AA">
      <w:pPr>
        <w:ind w:firstLine="708"/>
        <w:contextualSpacing/>
        <w:jc w:val="both"/>
        <w:rPr>
          <w:rFonts w:eastAsia="Arial"/>
          <w:sz w:val="22"/>
          <w:szCs w:val="22"/>
          <w:lang w:val="uk-UA"/>
        </w:rPr>
      </w:pPr>
      <w:r w:rsidRPr="000E05A8">
        <w:rPr>
          <w:rFonts w:eastAsia="Arial"/>
          <w:sz w:val="22"/>
          <w:szCs w:val="22"/>
          <w:lang w:val="uk-UA"/>
        </w:rPr>
        <w:t>Первісна вартість основних засобів та відповідно сума амортизації основних засобі</w:t>
      </w:r>
      <w:r w:rsidR="00624696" w:rsidRPr="000E05A8">
        <w:rPr>
          <w:rFonts w:eastAsia="Arial"/>
          <w:sz w:val="22"/>
          <w:szCs w:val="22"/>
          <w:lang w:val="uk-UA"/>
        </w:rPr>
        <w:t>в</w:t>
      </w:r>
      <w:r w:rsidRPr="000E05A8">
        <w:rPr>
          <w:rFonts w:eastAsia="Arial"/>
          <w:sz w:val="22"/>
          <w:szCs w:val="22"/>
          <w:lang w:val="uk-UA"/>
        </w:rPr>
        <w:t xml:space="preserve"> на </w:t>
      </w:r>
      <w:r w:rsidR="006048BC" w:rsidRPr="000E05A8">
        <w:rPr>
          <w:rFonts w:eastAsia="Arial"/>
          <w:sz w:val="22"/>
          <w:szCs w:val="22"/>
          <w:lang w:val="uk-UA"/>
        </w:rPr>
        <w:t>01.01.2021</w:t>
      </w:r>
      <w:r w:rsidRPr="000E05A8">
        <w:rPr>
          <w:rFonts w:eastAsia="Arial"/>
          <w:sz w:val="22"/>
          <w:szCs w:val="22"/>
          <w:lang w:val="uk-UA"/>
        </w:rPr>
        <w:t xml:space="preserve"> </w:t>
      </w:r>
      <w:r w:rsidR="00EC4041" w:rsidRPr="000E05A8">
        <w:rPr>
          <w:rFonts w:eastAsia="Arial"/>
          <w:sz w:val="22"/>
          <w:szCs w:val="22"/>
          <w:lang w:val="uk-UA"/>
        </w:rPr>
        <w:t xml:space="preserve">року </w:t>
      </w:r>
      <w:r w:rsidRPr="000E05A8">
        <w:rPr>
          <w:rFonts w:eastAsia="Arial"/>
          <w:sz w:val="22"/>
          <w:szCs w:val="22"/>
          <w:lang w:val="uk-UA"/>
        </w:rPr>
        <w:t xml:space="preserve">становить </w:t>
      </w:r>
      <w:r w:rsidR="00EC4041" w:rsidRPr="000E05A8">
        <w:rPr>
          <w:rFonts w:eastAsia="Arial"/>
          <w:sz w:val="22"/>
          <w:szCs w:val="22"/>
          <w:lang w:val="uk-UA"/>
        </w:rPr>
        <w:t xml:space="preserve">41 </w:t>
      </w:r>
      <w:r w:rsidR="00E24E57" w:rsidRPr="000E05A8">
        <w:rPr>
          <w:rFonts w:eastAsia="Arial"/>
          <w:sz w:val="22"/>
          <w:szCs w:val="22"/>
          <w:lang w:val="uk-UA"/>
        </w:rPr>
        <w:t xml:space="preserve">тис. грн. </w:t>
      </w:r>
      <w:r w:rsidR="00EC4041" w:rsidRPr="000E05A8">
        <w:rPr>
          <w:rFonts w:eastAsia="Arial"/>
          <w:sz w:val="22"/>
          <w:szCs w:val="22"/>
          <w:lang w:val="uk-UA"/>
        </w:rPr>
        <w:t xml:space="preserve">та </w:t>
      </w:r>
      <w:r w:rsidR="001847D1" w:rsidRPr="000E05A8">
        <w:rPr>
          <w:rFonts w:eastAsia="Arial"/>
          <w:sz w:val="22"/>
          <w:szCs w:val="22"/>
          <w:lang w:val="uk-UA"/>
        </w:rPr>
        <w:t>2 тис.</w:t>
      </w:r>
      <w:r w:rsidRPr="000E05A8">
        <w:rPr>
          <w:rFonts w:eastAsia="Arial"/>
          <w:sz w:val="22"/>
          <w:szCs w:val="22"/>
          <w:lang w:val="uk-UA"/>
        </w:rPr>
        <w:t xml:space="preserve"> грн.</w:t>
      </w:r>
      <w:r w:rsidR="00EC4041" w:rsidRPr="000E05A8">
        <w:rPr>
          <w:rFonts w:eastAsia="Arial"/>
          <w:sz w:val="22"/>
          <w:szCs w:val="22"/>
          <w:lang w:val="uk-UA"/>
        </w:rPr>
        <w:t xml:space="preserve"> відповідно.</w:t>
      </w:r>
    </w:p>
    <w:p w14:paraId="21056B22" w14:textId="3421C431" w:rsidR="00E00E60" w:rsidRPr="000E05A8" w:rsidRDefault="00E00E60" w:rsidP="00E00E60">
      <w:pPr>
        <w:contextualSpacing/>
        <w:jc w:val="both"/>
        <w:rPr>
          <w:rFonts w:eastAsia="Arial-BoldMT"/>
          <w:sz w:val="22"/>
          <w:szCs w:val="22"/>
          <w:lang w:val="uk-UA"/>
        </w:rPr>
      </w:pPr>
      <w:r w:rsidRPr="000E05A8">
        <w:rPr>
          <w:rFonts w:eastAsia="Arial"/>
          <w:sz w:val="22"/>
          <w:szCs w:val="22"/>
          <w:lang w:val="uk-UA"/>
        </w:rPr>
        <w:tab/>
        <w:t xml:space="preserve">Первісна вартість основних засобів на кінець періоду складає </w:t>
      </w:r>
      <w:r w:rsidR="00D85C43" w:rsidRPr="000E05A8">
        <w:rPr>
          <w:rFonts w:eastAsia="Arial"/>
          <w:sz w:val="22"/>
          <w:szCs w:val="22"/>
          <w:lang w:val="uk-UA"/>
        </w:rPr>
        <w:t>4</w:t>
      </w:r>
      <w:r w:rsidR="00B86554" w:rsidRPr="000E05A8">
        <w:rPr>
          <w:rFonts w:eastAsia="Arial"/>
          <w:sz w:val="22"/>
          <w:szCs w:val="22"/>
          <w:lang w:val="uk-UA"/>
        </w:rPr>
        <w:t>1</w:t>
      </w:r>
      <w:r w:rsidR="00D85C43" w:rsidRPr="000E05A8">
        <w:rPr>
          <w:rFonts w:eastAsia="Arial"/>
          <w:sz w:val="22"/>
          <w:szCs w:val="22"/>
          <w:lang w:val="uk-UA"/>
        </w:rPr>
        <w:t> </w:t>
      </w:r>
      <w:r w:rsidR="00B6235A" w:rsidRPr="000E05A8">
        <w:rPr>
          <w:rFonts w:eastAsia="Arial"/>
          <w:sz w:val="22"/>
          <w:szCs w:val="22"/>
          <w:lang w:val="uk-UA"/>
        </w:rPr>
        <w:t>тис.</w:t>
      </w:r>
      <w:r w:rsidRPr="000E05A8">
        <w:rPr>
          <w:rFonts w:eastAsia="Arial"/>
          <w:sz w:val="22"/>
          <w:szCs w:val="22"/>
          <w:lang w:val="uk-UA"/>
        </w:rPr>
        <w:t xml:space="preserve"> грн.</w:t>
      </w:r>
      <w:r w:rsidRPr="000E05A8">
        <w:rPr>
          <w:rFonts w:eastAsia="Arial-BoldMT"/>
          <w:sz w:val="22"/>
          <w:szCs w:val="22"/>
          <w:lang w:val="uk-UA"/>
        </w:rPr>
        <w:tab/>
        <w:t xml:space="preserve">Станом на </w:t>
      </w:r>
      <w:r w:rsidR="00980979" w:rsidRPr="000E05A8">
        <w:rPr>
          <w:rFonts w:eastAsia="Arial-BoldMT"/>
          <w:sz w:val="22"/>
          <w:szCs w:val="22"/>
          <w:lang w:val="uk-UA"/>
        </w:rPr>
        <w:t>31 березня 2021</w:t>
      </w:r>
      <w:r w:rsidR="00FA7519" w:rsidRPr="000E05A8">
        <w:rPr>
          <w:rFonts w:eastAsia="Arial-BoldMT"/>
          <w:sz w:val="22"/>
          <w:szCs w:val="22"/>
          <w:lang w:val="uk-UA"/>
        </w:rPr>
        <w:t xml:space="preserve"> року</w:t>
      </w:r>
      <w:r w:rsidRPr="000E05A8">
        <w:rPr>
          <w:rFonts w:eastAsia="Arial-BoldMT"/>
          <w:sz w:val="22"/>
          <w:szCs w:val="22"/>
          <w:lang w:val="uk-UA"/>
        </w:rPr>
        <w:t xml:space="preserve"> зносу по основним засобам нараховано в розмірі </w:t>
      </w:r>
      <w:r w:rsidR="00D36B6E" w:rsidRPr="000E05A8">
        <w:rPr>
          <w:rFonts w:eastAsia="Arial-BoldMT"/>
          <w:sz w:val="22"/>
          <w:szCs w:val="22"/>
          <w:lang w:val="uk-UA"/>
        </w:rPr>
        <w:t>2</w:t>
      </w:r>
      <w:r w:rsidRPr="000E05A8">
        <w:rPr>
          <w:rFonts w:eastAsia="Arial-BoldMT"/>
          <w:sz w:val="22"/>
          <w:szCs w:val="22"/>
          <w:lang w:val="uk-UA"/>
        </w:rPr>
        <w:t xml:space="preserve"> </w:t>
      </w:r>
      <w:r w:rsidR="00E24E57" w:rsidRPr="000E05A8">
        <w:rPr>
          <w:rFonts w:eastAsia="Arial-BoldMT"/>
          <w:sz w:val="22"/>
          <w:szCs w:val="22"/>
          <w:lang w:val="uk-UA"/>
        </w:rPr>
        <w:t>тис</w:t>
      </w:r>
      <w:r w:rsidR="00ED15C5" w:rsidRPr="000E05A8">
        <w:rPr>
          <w:rFonts w:eastAsia="Arial-BoldMT"/>
          <w:sz w:val="22"/>
          <w:szCs w:val="22"/>
          <w:lang w:val="uk-UA"/>
        </w:rPr>
        <w:t xml:space="preserve">. </w:t>
      </w:r>
      <w:r w:rsidRPr="000E05A8">
        <w:rPr>
          <w:rFonts w:eastAsia="Arial-BoldMT"/>
          <w:sz w:val="22"/>
          <w:szCs w:val="22"/>
          <w:lang w:val="uk-UA"/>
        </w:rPr>
        <w:t>грн.</w:t>
      </w:r>
    </w:p>
    <w:p w14:paraId="67EBAD13" w14:textId="7750D8E5" w:rsidR="00E00E60" w:rsidRPr="000E05A8" w:rsidRDefault="00E00E60" w:rsidP="00E00E60">
      <w:pPr>
        <w:shd w:val="clear" w:color="auto" w:fill="FFFFFF"/>
        <w:ind w:firstLine="709"/>
        <w:jc w:val="both"/>
        <w:outlineLvl w:val="0"/>
        <w:rPr>
          <w:rFonts w:eastAsia="Arial"/>
          <w:sz w:val="22"/>
          <w:szCs w:val="22"/>
          <w:lang w:val="uk-UA"/>
        </w:rPr>
      </w:pPr>
      <w:r w:rsidRPr="000E05A8">
        <w:rPr>
          <w:rFonts w:eastAsia="Arial"/>
          <w:sz w:val="22"/>
          <w:szCs w:val="22"/>
          <w:lang w:val="uk-UA"/>
        </w:rPr>
        <w:t xml:space="preserve">Залишкова вартість </w:t>
      </w:r>
      <w:r w:rsidRPr="000E05A8">
        <w:rPr>
          <w:rFonts w:eastAsia="Arial-BoldMT"/>
          <w:sz w:val="22"/>
          <w:szCs w:val="22"/>
          <w:lang w:val="uk-UA"/>
        </w:rPr>
        <w:t>основних засобів складає</w:t>
      </w:r>
      <w:r w:rsidRPr="000E05A8">
        <w:rPr>
          <w:rFonts w:eastAsia="Arial"/>
          <w:sz w:val="22"/>
          <w:szCs w:val="22"/>
          <w:lang w:val="uk-UA"/>
        </w:rPr>
        <w:t xml:space="preserve"> </w:t>
      </w:r>
      <w:r w:rsidR="00AD464C" w:rsidRPr="000E05A8">
        <w:rPr>
          <w:rFonts w:eastAsia="Arial"/>
          <w:sz w:val="22"/>
          <w:szCs w:val="22"/>
          <w:lang w:val="uk-UA"/>
        </w:rPr>
        <w:t>37</w:t>
      </w:r>
      <w:r w:rsidR="00B6235A" w:rsidRPr="000E05A8">
        <w:rPr>
          <w:rFonts w:eastAsia="Arial"/>
          <w:sz w:val="22"/>
          <w:szCs w:val="22"/>
          <w:lang w:val="uk-UA"/>
        </w:rPr>
        <w:t xml:space="preserve"> тис.</w:t>
      </w:r>
      <w:r w:rsidRPr="000E05A8">
        <w:rPr>
          <w:rFonts w:eastAsia="Arial"/>
          <w:sz w:val="22"/>
          <w:szCs w:val="22"/>
          <w:lang w:val="uk-UA"/>
        </w:rPr>
        <w:t xml:space="preserve"> грн</w:t>
      </w:r>
      <w:r w:rsidR="00B6235A" w:rsidRPr="000E05A8">
        <w:rPr>
          <w:rFonts w:eastAsia="Arial"/>
          <w:sz w:val="22"/>
          <w:szCs w:val="22"/>
          <w:lang w:val="uk-UA"/>
        </w:rPr>
        <w:t>.</w:t>
      </w:r>
    </w:p>
    <w:p w14:paraId="583E633D" w14:textId="77777777" w:rsidR="00F92166" w:rsidRPr="000E05A8" w:rsidRDefault="00F92166" w:rsidP="00B55057">
      <w:pPr>
        <w:shd w:val="clear" w:color="auto" w:fill="FFFFFF"/>
        <w:ind w:firstLine="709"/>
        <w:jc w:val="both"/>
        <w:outlineLvl w:val="0"/>
        <w:rPr>
          <w:rFonts w:eastAsia="Arial"/>
          <w:sz w:val="22"/>
          <w:szCs w:val="22"/>
          <w:lang w:val="uk-UA"/>
        </w:rPr>
      </w:pPr>
    </w:p>
    <w:p w14:paraId="184628C1" w14:textId="6C0FD7B4" w:rsidR="00E07DAE" w:rsidRPr="000E05A8" w:rsidRDefault="007443CA" w:rsidP="00A432B3">
      <w:pPr>
        <w:shd w:val="clear" w:color="auto" w:fill="FFFFFF"/>
        <w:ind w:firstLine="708"/>
        <w:rPr>
          <w:b/>
          <w:bCs/>
          <w:i/>
          <w:iCs/>
          <w:spacing w:val="-2"/>
          <w:sz w:val="22"/>
          <w:szCs w:val="22"/>
          <w:lang w:val="uk-UA"/>
        </w:rPr>
      </w:pPr>
      <w:bookmarkStart w:id="6" w:name="_Hlk52868370"/>
      <w:bookmarkEnd w:id="5"/>
      <w:r w:rsidRPr="000E05A8">
        <w:rPr>
          <w:b/>
          <w:bCs/>
          <w:i/>
          <w:iCs/>
          <w:spacing w:val="-2"/>
          <w:sz w:val="22"/>
          <w:szCs w:val="22"/>
          <w:lang w:val="uk-UA"/>
        </w:rPr>
        <w:t xml:space="preserve">6.5. </w:t>
      </w:r>
      <w:r w:rsidR="000460E9" w:rsidRPr="000E05A8">
        <w:rPr>
          <w:b/>
          <w:bCs/>
          <w:i/>
          <w:iCs/>
          <w:spacing w:val="-2"/>
          <w:sz w:val="22"/>
          <w:szCs w:val="22"/>
          <w:lang w:val="uk-UA"/>
        </w:rPr>
        <w:t>Де</w:t>
      </w:r>
      <w:r w:rsidR="00FB38A4" w:rsidRPr="000E05A8">
        <w:rPr>
          <w:b/>
          <w:bCs/>
          <w:i/>
          <w:iCs/>
          <w:spacing w:val="-2"/>
          <w:sz w:val="22"/>
          <w:szCs w:val="22"/>
          <w:lang w:val="uk-UA"/>
        </w:rPr>
        <w:t>біторська заборгованість</w:t>
      </w:r>
    </w:p>
    <w:bookmarkEnd w:id="6"/>
    <w:p w14:paraId="59AD5B33" w14:textId="25309065" w:rsidR="00E07DAE" w:rsidRPr="000E05A8" w:rsidRDefault="00FB38A4" w:rsidP="007443CA">
      <w:pPr>
        <w:shd w:val="clear" w:color="auto" w:fill="FFFFFF"/>
        <w:autoSpaceDE w:val="0"/>
        <w:autoSpaceDN w:val="0"/>
        <w:adjustRightInd w:val="0"/>
        <w:ind w:firstLine="709"/>
        <w:jc w:val="both"/>
        <w:rPr>
          <w:bCs/>
          <w:spacing w:val="-2"/>
          <w:sz w:val="22"/>
          <w:szCs w:val="22"/>
          <w:lang w:val="uk-UA"/>
        </w:rPr>
      </w:pPr>
      <w:r w:rsidRPr="000E05A8">
        <w:rPr>
          <w:bCs/>
          <w:spacing w:val="-2"/>
          <w:sz w:val="22"/>
          <w:szCs w:val="22"/>
          <w:lang w:val="uk-UA"/>
        </w:rPr>
        <w:t>Дебіторська заборгованість за виданими авансами обліковується в сумі 2 тис. грн. (за веб-хостінг та реєстрацію домену).</w:t>
      </w:r>
    </w:p>
    <w:p w14:paraId="53204722" w14:textId="31544D2D" w:rsidR="00207779" w:rsidRPr="000E05A8" w:rsidRDefault="00A67C1B" w:rsidP="007443CA">
      <w:pPr>
        <w:shd w:val="clear" w:color="auto" w:fill="FFFFFF"/>
        <w:autoSpaceDE w:val="0"/>
        <w:autoSpaceDN w:val="0"/>
        <w:adjustRightInd w:val="0"/>
        <w:ind w:firstLine="709"/>
        <w:jc w:val="both"/>
        <w:rPr>
          <w:color w:val="0A0A0A"/>
          <w:sz w:val="22"/>
          <w:szCs w:val="22"/>
          <w:shd w:val="clear" w:color="auto" w:fill="FFFFFF"/>
          <w:lang w:val="uk-UA"/>
        </w:rPr>
      </w:pPr>
      <w:r w:rsidRPr="000E05A8">
        <w:rPr>
          <w:bCs/>
          <w:spacing w:val="-2"/>
          <w:sz w:val="22"/>
          <w:szCs w:val="22"/>
          <w:lang w:val="uk-UA"/>
        </w:rPr>
        <w:t xml:space="preserve">Дебіторська заборгованість за послуги з </w:t>
      </w:r>
      <w:r w:rsidRPr="000E05A8">
        <w:rPr>
          <w:sz w:val="22"/>
          <w:szCs w:val="22"/>
          <w:lang w:val="uk-UA"/>
        </w:rPr>
        <w:t>управління активами інституційних інвесторів (</w:t>
      </w:r>
      <w:r w:rsidR="000F0969" w:rsidRPr="000E05A8">
        <w:rPr>
          <w:color w:val="0A0A0A"/>
          <w:sz w:val="22"/>
          <w:szCs w:val="22"/>
          <w:shd w:val="clear" w:color="auto" w:fill="FFFFFF"/>
          <w:lang w:val="uk-UA"/>
        </w:rPr>
        <w:t>АКЦІОНЕРНЕ ТОВАРИСТВО «ДЖОРДЖІЯ»</w:t>
      </w:r>
      <w:r w:rsidR="00370BD9" w:rsidRPr="000E05A8">
        <w:rPr>
          <w:color w:val="0A0A0A"/>
          <w:sz w:val="22"/>
          <w:szCs w:val="22"/>
          <w:shd w:val="clear" w:color="auto" w:fill="FFFFFF"/>
          <w:lang w:val="uk-UA"/>
        </w:rPr>
        <w:t xml:space="preserve">, код ЄДРПОУ 43938348) </w:t>
      </w:r>
      <w:r w:rsidR="0032667B" w:rsidRPr="000E05A8">
        <w:rPr>
          <w:color w:val="0A0A0A"/>
          <w:sz w:val="22"/>
          <w:szCs w:val="22"/>
          <w:shd w:val="clear" w:color="auto" w:fill="FFFFFF"/>
          <w:lang w:val="uk-UA"/>
        </w:rPr>
        <w:t>складає 58 тис.грн.</w:t>
      </w:r>
    </w:p>
    <w:p w14:paraId="0A217731" w14:textId="2DAEF4CC" w:rsidR="0032667B" w:rsidRPr="000E05A8" w:rsidRDefault="00D77B17" w:rsidP="007443CA">
      <w:pPr>
        <w:shd w:val="clear" w:color="auto" w:fill="FFFFFF"/>
        <w:autoSpaceDE w:val="0"/>
        <w:autoSpaceDN w:val="0"/>
        <w:adjustRightInd w:val="0"/>
        <w:ind w:firstLine="709"/>
        <w:jc w:val="both"/>
        <w:rPr>
          <w:color w:val="0A0A0A"/>
          <w:sz w:val="22"/>
          <w:szCs w:val="22"/>
          <w:shd w:val="clear" w:color="auto" w:fill="FFFFFF"/>
          <w:lang w:val="uk-UA"/>
        </w:rPr>
      </w:pPr>
      <w:r w:rsidRPr="000E05A8">
        <w:rPr>
          <w:color w:val="0A0A0A"/>
          <w:sz w:val="22"/>
          <w:szCs w:val="22"/>
          <w:shd w:val="clear" w:color="auto" w:fill="FFFFFF"/>
          <w:lang w:val="uk-UA"/>
        </w:rPr>
        <w:t xml:space="preserve">Дебіторська заборгованість за розрахунками з бюджетом складає 44 тис.грн. та виникла завдяки </w:t>
      </w:r>
      <w:r w:rsidR="00585D9E" w:rsidRPr="000E05A8">
        <w:rPr>
          <w:color w:val="0A0A0A"/>
          <w:sz w:val="22"/>
          <w:szCs w:val="22"/>
          <w:shd w:val="clear" w:color="auto" w:fill="FFFFFF"/>
          <w:lang w:val="uk-UA"/>
        </w:rPr>
        <w:t xml:space="preserve">податковому кредиту по </w:t>
      </w:r>
      <w:r w:rsidR="00371352" w:rsidRPr="000E05A8">
        <w:rPr>
          <w:color w:val="0A0A0A"/>
          <w:sz w:val="22"/>
          <w:szCs w:val="22"/>
          <w:shd w:val="clear" w:color="auto" w:fill="FFFFFF"/>
          <w:lang w:val="uk-UA"/>
        </w:rPr>
        <w:t>податку на додану вартість</w:t>
      </w:r>
      <w:r w:rsidR="00F26885" w:rsidRPr="000E05A8">
        <w:rPr>
          <w:color w:val="0A0A0A"/>
          <w:sz w:val="22"/>
          <w:szCs w:val="22"/>
          <w:shd w:val="clear" w:color="auto" w:fill="FFFFFF"/>
          <w:lang w:val="uk-UA"/>
        </w:rPr>
        <w:t>.</w:t>
      </w:r>
    </w:p>
    <w:p w14:paraId="2BF1FB92" w14:textId="4720C2F6" w:rsidR="00F26885" w:rsidRPr="000E05A8" w:rsidRDefault="001A2F9E" w:rsidP="007443CA">
      <w:pPr>
        <w:shd w:val="clear" w:color="auto" w:fill="FFFFFF"/>
        <w:autoSpaceDE w:val="0"/>
        <w:autoSpaceDN w:val="0"/>
        <w:adjustRightInd w:val="0"/>
        <w:ind w:firstLine="709"/>
        <w:jc w:val="both"/>
        <w:rPr>
          <w:color w:val="0A0A0A"/>
          <w:sz w:val="22"/>
          <w:szCs w:val="22"/>
          <w:shd w:val="clear" w:color="auto" w:fill="FFFFFF"/>
          <w:lang w:val="uk-UA"/>
        </w:rPr>
      </w:pPr>
      <w:r w:rsidRPr="000E05A8">
        <w:rPr>
          <w:color w:val="0A0A0A"/>
          <w:sz w:val="22"/>
          <w:szCs w:val="22"/>
          <w:shd w:val="clear" w:color="auto" w:fill="FFFFFF"/>
          <w:lang w:val="uk-UA"/>
        </w:rPr>
        <w:t xml:space="preserve">Інша поточна дебіторська заборгованість </w:t>
      </w:r>
      <w:r w:rsidR="00C95EF1" w:rsidRPr="000E05A8">
        <w:rPr>
          <w:color w:val="0A0A0A"/>
          <w:sz w:val="22"/>
          <w:szCs w:val="22"/>
          <w:shd w:val="clear" w:color="auto" w:fill="FFFFFF"/>
          <w:lang w:val="uk-UA"/>
        </w:rPr>
        <w:t>складається з</w:t>
      </w:r>
      <w:r w:rsidR="00587ED9" w:rsidRPr="000E05A8">
        <w:rPr>
          <w:color w:val="0A0A0A"/>
          <w:sz w:val="22"/>
          <w:szCs w:val="22"/>
          <w:shd w:val="clear" w:color="auto" w:fill="FFFFFF"/>
          <w:lang w:val="uk-UA"/>
        </w:rPr>
        <w:t>:</w:t>
      </w:r>
    </w:p>
    <w:p w14:paraId="4EE43780" w14:textId="53E6A786" w:rsidR="00587ED9" w:rsidRPr="000E05A8" w:rsidRDefault="00587ED9" w:rsidP="00522F49">
      <w:pPr>
        <w:pStyle w:val="a8"/>
        <w:numPr>
          <w:ilvl w:val="0"/>
          <w:numId w:val="27"/>
        </w:numPr>
        <w:shd w:val="clear" w:color="auto" w:fill="FFFFFF"/>
        <w:autoSpaceDE w:val="0"/>
        <w:autoSpaceDN w:val="0"/>
        <w:adjustRightInd w:val="0"/>
        <w:jc w:val="both"/>
        <w:rPr>
          <w:rFonts w:ascii="Times New Roman" w:hAnsi="Times New Roman"/>
          <w:bCs/>
          <w:spacing w:val="-2"/>
          <w:lang w:val="uk-UA"/>
        </w:rPr>
      </w:pPr>
      <w:r w:rsidRPr="000E05A8">
        <w:rPr>
          <w:rFonts w:ascii="Times New Roman" w:hAnsi="Times New Roman"/>
          <w:b/>
          <w:spacing w:val="-2"/>
          <w:lang w:val="uk-UA"/>
        </w:rPr>
        <w:t>ДУ «АРІФРУ»</w:t>
      </w:r>
      <w:r w:rsidRPr="000E05A8">
        <w:rPr>
          <w:rFonts w:ascii="Times New Roman" w:hAnsi="Times New Roman"/>
          <w:bCs/>
          <w:spacing w:val="-2"/>
          <w:lang w:val="uk-UA"/>
        </w:rPr>
        <w:t xml:space="preserve"> </w:t>
      </w:r>
      <w:r w:rsidR="00BB09C1" w:rsidRPr="000E05A8">
        <w:rPr>
          <w:rFonts w:ascii="Times New Roman" w:hAnsi="Times New Roman"/>
          <w:bCs/>
          <w:spacing w:val="-2"/>
          <w:lang w:val="uk-UA"/>
        </w:rPr>
        <w:t>(рахунок №АФ-ПЗ-11437 от 25.02.2021)</w:t>
      </w:r>
      <w:r w:rsidR="007050F5" w:rsidRPr="000E05A8">
        <w:rPr>
          <w:rFonts w:ascii="Times New Roman" w:hAnsi="Times New Roman"/>
          <w:bCs/>
          <w:spacing w:val="-2"/>
          <w:lang w:val="uk-UA"/>
        </w:rPr>
        <w:t xml:space="preserve"> на суму 2 тис. грн. </w:t>
      </w:r>
      <w:r w:rsidR="00FF32F6" w:rsidRPr="000E05A8">
        <w:rPr>
          <w:rFonts w:ascii="Times New Roman" w:hAnsi="Times New Roman"/>
          <w:bCs/>
          <w:spacing w:val="-2"/>
          <w:lang w:val="uk-UA"/>
        </w:rPr>
        <w:t>(</w:t>
      </w:r>
      <w:r w:rsidR="00522F49" w:rsidRPr="000E05A8">
        <w:rPr>
          <w:rFonts w:ascii="Times New Roman" w:hAnsi="Times New Roman"/>
          <w:bCs/>
          <w:spacing w:val="-2"/>
          <w:lang w:val="uk-UA"/>
        </w:rPr>
        <w:t>і</w:t>
      </w:r>
      <w:r w:rsidR="00DD74C6" w:rsidRPr="000E05A8">
        <w:rPr>
          <w:rFonts w:ascii="Times New Roman" w:hAnsi="Times New Roman"/>
          <w:lang w:val="uk-UA"/>
        </w:rPr>
        <w:t xml:space="preserve">нформаційні послуги щодо подання звітності та/або адміністративних даних до Комісії (річне обслуговування) за період з 1кв. </w:t>
      </w:r>
      <w:r w:rsidR="00DD74C6" w:rsidRPr="000E05A8">
        <w:rPr>
          <w:rFonts w:ascii="Times New Roman" w:hAnsi="Times New Roman"/>
        </w:rPr>
        <w:t>2021р. по 4кв. 2021р.</w:t>
      </w:r>
      <w:r w:rsidR="00522F49" w:rsidRPr="000E05A8">
        <w:rPr>
          <w:rFonts w:ascii="Times New Roman" w:hAnsi="Times New Roman"/>
          <w:lang w:val="uk-UA"/>
        </w:rPr>
        <w:t>)</w:t>
      </w:r>
      <w:r w:rsidR="00522F49" w:rsidRPr="000E05A8">
        <w:rPr>
          <w:rFonts w:ascii="Times New Roman" w:hAnsi="Times New Roman"/>
          <w:bCs/>
          <w:spacing w:val="-2"/>
          <w:lang w:val="uk-UA"/>
        </w:rPr>
        <w:t>;</w:t>
      </w:r>
    </w:p>
    <w:p w14:paraId="03219793" w14:textId="35091F34" w:rsidR="00BF4971" w:rsidRPr="000E05A8" w:rsidRDefault="00BF4971" w:rsidP="001037ED">
      <w:pPr>
        <w:pStyle w:val="a8"/>
        <w:numPr>
          <w:ilvl w:val="0"/>
          <w:numId w:val="27"/>
        </w:numPr>
        <w:jc w:val="both"/>
        <w:rPr>
          <w:rFonts w:ascii="Times New Roman" w:hAnsi="Times New Roman"/>
          <w:lang w:val="uk-UA"/>
        </w:rPr>
      </w:pPr>
      <w:r w:rsidRPr="000E05A8">
        <w:rPr>
          <w:rFonts w:ascii="Times New Roman" w:hAnsi="Times New Roman"/>
          <w:b/>
          <w:bCs/>
          <w:lang w:val="uk-UA"/>
        </w:rPr>
        <w:t>Державний заклад післядипломної освіти «Академія фінансового моніторингу»</w:t>
      </w:r>
      <w:r w:rsidR="00EE4CAD" w:rsidRPr="000E05A8">
        <w:rPr>
          <w:rFonts w:ascii="Times New Roman" w:hAnsi="Times New Roman"/>
          <w:lang w:val="uk-UA"/>
        </w:rPr>
        <w:t xml:space="preserve"> </w:t>
      </w:r>
      <w:r w:rsidR="00230109" w:rsidRPr="000E05A8">
        <w:rPr>
          <w:rFonts w:ascii="Times New Roman" w:hAnsi="Times New Roman"/>
          <w:lang w:val="uk-UA"/>
        </w:rPr>
        <w:t xml:space="preserve">(Договір </w:t>
      </w:r>
      <w:r w:rsidR="001C4B71" w:rsidRPr="000E05A8">
        <w:rPr>
          <w:rFonts w:ascii="Times New Roman" w:hAnsi="Times New Roman"/>
          <w:lang w:val="uk-UA"/>
        </w:rPr>
        <w:t>№</w:t>
      </w:r>
      <w:r w:rsidR="001C4B71" w:rsidRPr="000E05A8">
        <w:rPr>
          <w:rFonts w:ascii="Times New Roman" w:hAnsi="Times New Roman"/>
          <w:bCs/>
          <w:lang w:val="uk-UA"/>
        </w:rPr>
        <w:t>9150-23/0393-цп</w:t>
      </w:r>
      <w:r w:rsidR="00230109" w:rsidRPr="000E05A8">
        <w:rPr>
          <w:rFonts w:ascii="Times New Roman" w:hAnsi="Times New Roman"/>
          <w:bCs/>
          <w:lang w:val="uk-UA"/>
        </w:rPr>
        <w:t xml:space="preserve"> от 18.03.2021</w:t>
      </w:r>
      <w:r w:rsidR="001C4B71" w:rsidRPr="000E05A8">
        <w:rPr>
          <w:rFonts w:ascii="Times New Roman" w:hAnsi="Times New Roman"/>
          <w:bCs/>
          <w:lang w:val="uk-UA"/>
        </w:rPr>
        <w:t xml:space="preserve"> року) </w:t>
      </w:r>
      <w:r w:rsidR="00EE4CAD" w:rsidRPr="000E05A8">
        <w:rPr>
          <w:rFonts w:ascii="Times New Roman" w:hAnsi="Times New Roman"/>
          <w:bCs/>
          <w:lang w:val="uk-UA"/>
        </w:rPr>
        <w:t>на с</w:t>
      </w:r>
      <w:r w:rsidR="00EE4CAD" w:rsidRPr="000E05A8">
        <w:rPr>
          <w:rFonts w:ascii="Times New Roman" w:hAnsi="Times New Roman"/>
          <w:lang w:val="uk-UA"/>
        </w:rPr>
        <w:t xml:space="preserve">уму </w:t>
      </w:r>
      <w:r w:rsidR="00581D25" w:rsidRPr="000E05A8">
        <w:rPr>
          <w:rFonts w:ascii="Times New Roman" w:hAnsi="Times New Roman"/>
          <w:lang w:val="uk-UA"/>
        </w:rPr>
        <w:t>3 тис.грн.</w:t>
      </w:r>
      <w:r w:rsidR="00230109" w:rsidRPr="000E05A8">
        <w:rPr>
          <w:rFonts w:ascii="Times New Roman" w:hAnsi="Times New Roman"/>
          <w:lang w:val="uk-UA"/>
        </w:rPr>
        <w:t xml:space="preserve"> (</w:t>
      </w:r>
      <w:r w:rsidR="00E7359A" w:rsidRPr="000E05A8">
        <w:rPr>
          <w:rFonts w:ascii="Times New Roman" w:hAnsi="Times New Roman"/>
          <w:lang w:val="uk-UA"/>
        </w:rPr>
        <w:t xml:space="preserve">надання освітніх послуг з підвищення кваліфікації відповідальних працівників суб'єктів первинного фінансового моніторингу, а також інших працівників, залучених до проведення фінансового моніторингу у сфері запобігання та протидії легалізації (відмиванню) доходів, одержаних злочинним шляхом, фінансуванню </w:t>
      </w:r>
      <w:r w:rsidR="00E7359A" w:rsidRPr="000E05A8">
        <w:rPr>
          <w:rFonts w:ascii="Times New Roman" w:hAnsi="Times New Roman"/>
          <w:lang w:val="uk-UA"/>
        </w:rPr>
        <w:lastRenderedPageBreak/>
        <w:t>тероризму та фінансуванню розповсюдження зброї масового знищення з використанням інформаційно-комунікаційних технологій Інтернет-мережі)</w:t>
      </w:r>
      <w:r w:rsidR="001B487A" w:rsidRPr="000E05A8">
        <w:rPr>
          <w:rFonts w:ascii="Times New Roman" w:hAnsi="Times New Roman"/>
          <w:lang w:val="uk-UA"/>
        </w:rPr>
        <w:t>.</w:t>
      </w:r>
    </w:p>
    <w:p w14:paraId="121043D9" w14:textId="43FC12A2" w:rsidR="002B02C3" w:rsidRPr="000E05A8" w:rsidRDefault="007443CA" w:rsidP="007443CA">
      <w:pPr>
        <w:shd w:val="clear" w:color="auto" w:fill="FFFFFF"/>
        <w:autoSpaceDE w:val="0"/>
        <w:autoSpaceDN w:val="0"/>
        <w:adjustRightInd w:val="0"/>
        <w:ind w:firstLine="709"/>
        <w:jc w:val="both"/>
        <w:rPr>
          <w:b/>
          <w:i/>
          <w:iCs/>
          <w:spacing w:val="-2"/>
          <w:sz w:val="22"/>
          <w:szCs w:val="22"/>
          <w:lang w:val="uk-UA"/>
        </w:rPr>
      </w:pPr>
      <w:r w:rsidRPr="000E05A8">
        <w:rPr>
          <w:b/>
          <w:i/>
          <w:iCs/>
          <w:spacing w:val="-2"/>
          <w:sz w:val="22"/>
          <w:szCs w:val="22"/>
          <w:lang w:val="uk-UA"/>
        </w:rPr>
        <w:t xml:space="preserve">6.6. </w:t>
      </w:r>
      <w:r w:rsidR="002B02C3" w:rsidRPr="000E05A8">
        <w:rPr>
          <w:b/>
          <w:i/>
          <w:iCs/>
          <w:spacing w:val="-2"/>
          <w:sz w:val="22"/>
          <w:szCs w:val="22"/>
          <w:lang w:val="uk-UA"/>
        </w:rPr>
        <w:t>Поточні фінансові інвестиції</w:t>
      </w:r>
    </w:p>
    <w:p w14:paraId="1507906F" w14:textId="30566B9F" w:rsidR="002B02C3" w:rsidRPr="000E05A8" w:rsidRDefault="002B02C3" w:rsidP="002B02C3">
      <w:pPr>
        <w:shd w:val="clear" w:color="auto" w:fill="FFFFFF"/>
        <w:ind w:firstLine="709"/>
        <w:jc w:val="both"/>
        <w:outlineLvl w:val="0"/>
        <w:rPr>
          <w:bCs/>
          <w:spacing w:val="-2"/>
          <w:sz w:val="22"/>
          <w:szCs w:val="22"/>
          <w:lang w:val="uk-UA"/>
        </w:rPr>
      </w:pPr>
      <w:r w:rsidRPr="000E05A8">
        <w:rPr>
          <w:bCs/>
          <w:spacing w:val="-2"/>
          <w:sz w:val="22"/>
          <w:szCs w:val="22"/>
          <w:lang w:val="uk-UA"/>
        </w:rPr>
        <w:t>Дата придбання Товариством фінансових активів 29.09.2020 року.</w:t>
      </w:r>
    </w:p>
    <w:p w14:paraId="7C9ABC8F" w14:textId="77777777" w:rsidR="001214FC" w:rsidRPr="000E05A8" w:rsidRDefault="001214FC" w:rsidP="001214FC">
      <w:pPr>
        <w:jc w:val="right"/>
        <w:rPr>
          <w:sz w:val="22"/>
          <w:szCs w:val="22"/>
          <w:lang w:val="uk-UA"/>
        </w:rPr>
      </w:pPr>
      <w:r w:rsidRPr="000E05A8">
        <w:rPr>
          <w:sz w:val="22"/>
          <w:szCs w:val="22"/>
          <w:lang w:val="uk-UA"/>
        </w:rPr>
        <w:t>(тис.грн.)</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23"/>
        <w:gridCol w:w="1275"/>
        <w:gridCol w:w="1276"/>
        <w:gridCol w:w="1134"/>
        <w:gridCol w:w="1843"/>
      </w:tblGrid>
      <w:tr w:rsidR="000E0496" w:rsidRPr="008D1B3A" w14:paraId="32F5B5BB" w14:textId="77777777" w:rsidTr="00AF67C9">
        <w:trPr>
          <w:trHeight w:hRule="exact" w:val="331"/>
          <w:jc w:val="center"/>
        </w:trPr>
        <w:tc>
          <w:tcPr>
            <w:tcW w:w="3823" w:type="dxa"/>
            <w:shd w:val="clear" w:color="auto" w:fill="FFFFFF"/>
          </w:tcPr>
          <w:p w14:paraId="5E3CB96E" w14:textId="77777777" w:rsidR="000E0496" w:rsidRPr="008D1B3A" w:rsidRDefault="000E0496" w:rsidP="000E0496">
            <w:pPr>
              <w:shd w:val="clear" w:color="auto" w:fill="FFFFFF"/>
              <w:ind w:firstLine="709"/>
              <w:jc w:val="both"/>
              <w:rPr>
                <w:sz w:val="20"/>
                <w:szCs w:val="20"/>
                <w:lang w:val="uk-UA"/>
              </w:rPr>
            </w:pPr>
          </w:p>
        </w:tc>
        <w:tc>
          <w:tcPr>
            <w:tcW w:w="2551" w:type="dxa"/>
            <w:gridSpan w:val="2"/>
            <w:shd w:val="clear" w:color="auto" w:fill="FFFFFF"/>
          </w:tcPr>
          <w:p w14:paraId="3189C951" w14:textId="7B3CD626" w:rsidR="000E0496" w:rsidRPr="008D1B3A" w:rsidRDefault="000E0496" w:rsidP="000E0496">
            <w:pPr>
              <w:shd w:val="clear" w:color="auto" w:fill="FFFFFF"/>
              <w:ind w:firstLine="709"/>
              <w:jc w:val="center"/>
              <w:rPr>
                <w:sz w:val="20"/>
                <w:szCs w:val="20"/>
                <w:lang w:val="uk-UA"/>
              </w:rPr>
            </w:pPr>
            <w:r w:rsidRPr="008D1B3A">
              <w:rPr>
                <w:sz w:val="20"/>
                <w:szCs w:val="20"/>
                <w:lang w:val="uk-UA"/>
              </w:rPr>
              <w:t>на 31.</w:t>
            </w:r>
            <w:r>
              <w:rPr>
                <w:sz w:val="20"/>
                <w:szCs w:val="20"/>
                <w:lang w:val="uk-UA"/>
              </w:rPr>
              <w:t>12</w:t>
            </w:r>
            <w:r w:rsidRPr="008D1B3A">
              <w:rPr>
                <w:sz w:val="20"/>
                <w:szCs w:val="20"/>
                <w:lang w:val="uk-UA"/>
              </w:rPr>
              <w:t>.202</w:t>
            </w:r>
            <w:r>
              <w:rPr>
                <w:sz w:val="20"/>
                <w:szCs w:val="20"/>
                <w:lang w:val="uk-UA"/>
              </w:rPr>
              <w:t>0</w:t>
            </w:r>
          </w:p>
          <w:p w14:paraId="7DCD646D" w14:textId="77777777" w:rsidR="000E0496" w:rsidRPr="008D1B3A" w:rsidRDefault="000E0496" w:rsidP="000E0496">
            <w:pPr>
              <w:shd w:val="clear" w:color="auto" w:fill="FFFFFF"/>
              <w:ind w:firstLine="709"/>
              <w:jc w:val="center"/>
              <w:rPr>
                <w:sz w:val="20"/>
                <w:szCs w:val="20"/>
                <w:lang w:val="uk-UA"/>
              </w:rPr>
            </w:pPr>
          </w:p>
        </w:tc>
        <w:tc>
          <w:tcPr>
            <w:tcW w:w="2977" w:type="dxa"/>
            <w:gridSpan w:val="2"/>
            <w:shd w:val="clear" w:color="auto" w:fill="FFFFFF"/>
          </w:tcPr>
          <w:p w14:paraId="5AA29943" w14:textId="1F8649E4" w:rsidR="000E0496" w:rsidRPr="008D1B3A" w:rsidRDefault="000E0496" w:rsidP="000E0496">
            <w:pPr>
              <w:shd w:val="clear" w:color="auto" w:fill="FFFFFF"/>
              <w:ind w:firstLine="709"/>
              <w:jc w:val="center"/>
              <w:rPr>
                <w:sz w:val="20"/>
                <w:szCs w:val="20"/>
                <w:lang w:val="uk-UA"/>
              </w:rPr>
            </w:pPr>
            <w:r w:rsidRPr="008D1B3A">
              <w:rPr>
                <w:sz w:val="20"/>
                <w:szCs w:val="20"/>
                <w:lang w:val="uk-UA"/>
              </w:rPr>
              <w:t>на 31.03.2021</w:t>
            </w:r>
          </w:p>
          <w:p w14:paraId="2ADE7330" w14:textId="77777777" w:rsidR="000E0496" w:rsidRPr="008D1B3A" w:rsidRDefault="000E0496" w:rsidP="000E0496">
            <w:pPr>
              <w:shd w:val="clear" w:color="auto" w:fill="FFFFFF"/>
              <w:ind w:firstLine="709"/>
              <w:jc w:val="both"/>
              <w:rPr>
                <w:b/>
                <w:bCs/>
                <w:sz w:val="20"/>
                <w:szCs w:val="20"/>
                <w:lang w:val="uk-UA"/>
              </w:rPr>
            </w:pPr>
          </w:p>
        </w:tc>
      </w:tr>
      <w:tr w:rsidR="000E0496" w:rsidRPr="008D1B3A" w14:paraId="599F0426" w14:textId="77777777" w:rsidTr="00A641B5">
        <w:trPr>
          <w:trHeight w:hRule="exact" w:val="529"/>
          <w:jc w:val="center"/>
        </w:trPr>
        <w:tc>
          <w:tcPr>
            <w:tcW w:w="3823" w:type="dxa"/>
            <w:shd w:val="clear" w:color="auto" w:fill="FFFFFF"/>
          </w:tcPr>
          <w:p w14:paraId="174990BE" w14:textId="77777777" w:rsidR="000E0496" w:rsidRPr="008D1B3A" w:rsidRDefault="000E0496" w:rsidP="000E0496">
            <w:pPr>
              <w:shd w:val="clear" w:color="auto" w:fill="FFFFFF"/>
              <w:ind w:firstLine="709"/>
              <w:jc w:val="both"/>
              <w:rPr>
                <w:bCs/>
                <w:sz w:val="20"/>
                <w:szCs w:val="20"/>
                <w:lang w:val="uk-UA"/>
              </w:rPr>
            </w:pPr>
            <w:r w:rsidRPr="008D1B3A">
              <w:rPr>
                <w:bCs/>
                <w:sz w:val="20"/>
                <w:szCs w:val="20"/>
                <w:lang w:val="uk-UA"/>
              </w:rPr>
              <w:t>Найменування статті</w:t>
            </w:r>
          </w:p>
        </w:tc>
        <w:tc>
          <w:tcPr>
            <w:tcW w:w="1275" w:type="dxa"/>
            <w:shd w:val="clear" w:color="auto" w:fill="FFFFFF"/>
          </w:tcPr>
          <w:p w14:paraId="60AC98D0" w14:textId="279ECFF2" w:rsidR="000E0496" w:rsidRPr="008D1B3A" w:rsidRDefault="000E0496" w:rsidP="000E0496">
            <w:pPr>
              <w:shd w:val="clear" w:color="auto" w:fill="FFFFFF"/>
              <w:jc w:val="center"/>
              <w:rPr>
                <w:bCs/>
                <w:sz w:val="20"/>
                <w:szCs w:val="20"/>
                <w:lang w:val="uk-UA"/>
              </w:rPr>
            </w:pPr>
            <w:r w:rsidRPr="008D1B3A">
              <w:rPr>
                <w:bCs/>
                <w:sz w:val="20"/>
                <w:szCs w:val="20"/>
                <w:lang w:val="uk-UA"/>
              </w:rPr>
              <w:t>Кількість, штук</w:t>
            </w:r>
          </w:p>
        </w:tc>
        <w:tc>
          <w:tcPr>
            <w:tcW w:w="1276" w:type="dxa"/>
            <w:shd w:val="clear" w:color="auto" w:fill="FFFFFF"/>
          </w:tcPr>
          <w:p w14:paraId="2A69CBCE" w14:textId="129C3602" w:rsidR="000E0496" w:rsidRPr="008D1B3A" w:rsidRDefault="000E0496" w:rsidP="000E0496">
            <w:pPr>
              <w:shd w:val="clear" w:color="auto" w:fill="FFFFFF"/>
              <w:jc w:val="center"/>
              <w:rPr>
                <w:bCs/>
                <w:sz w:val="20"/>
                <w:szCs w:val="20"/>
                <w:lang w:val="uk-UA"/>
              </w:rPr>
            </w:pPr>
            <w:r w:rsidRPr="008D1B3A">
              <w:rPr>
                <w:bCs/>
                <w:sz w:val="20"/>
                <w:szCs w:val="20"/>
                <w:lang w:val="uk-UA"/>
              </w:rPr>
              <w:t>Вартість</w:t>
            </w:r>
          </w:p>
        </w:tc>
        <w:tc>
          <w:tcPr>
            <w:tcW w:w="1134" w:type="dxa"/>
            <w:shd w:val="clear" w:color="auto" w:fill="FFFFFF"/>
          </w:tcPr>
          <w:p w14:paraId="7C427946" w14:textId="738AAF08" w:rsidR="000E0496" w:rsidRPr="008D1B3A" w:rsidRDefault="000E0496" w:rsidP="000E0496">
            <w:pPr>
              <w:shd w:val="clear" w:color="auto" w:fill="FFFFFF"/>
              <w:jc w:val="center"/>
              <w:rPr>
                <w:bCs/>
                <w:sz w:val="20"/>
                <w:szCs w:val="20"/>
                <w:lang w:val="uk-UA"/>
              </w:rPr>
            </w:pPr>
            <w:r w:rsidRPr="008D1B3A">
              <w:rPr>
                <w:bCs/>
                <w:sz w:val="20"/>
                <w:szCs w:val="20"/>
                <w:lang w:val="uk-UA"/>
              </w:rPr>
              <w:t>Кількість, штук</w:t>
            </w:r>
          </w:p>
        </w:tc>
        <w:tc>
          <w:tcPr>
            <w:tcW w:w="1843" w:type="dxa"/>
            <w:shd w:val="clear" w:color="auto" w:fill="FFFFFF"/>
          </w:tcPr>
          <w:p w14:paraId="1D3371BC" w14:textId="5740B475" w:rsidR="000E0496" w:rsidRPr="008D1B3A" w:rsidRDefault="000E0496" w:rsidP="000E0496">
            <w:pPr>
              <w:shd w:val="clear" w:color="auto" w:fill="FFFFFF"/>
              <w:jc w:val="center"/>
              <w:rPr>
                <w:bCs/>
                <w:sz w:val="20"/>
                <w:szCs w:val="20"/>
                <w:lang w:val="uk-UA"/>
              </w:rPr>
            </w:pPr>
            <w:r w:rsidRPr="008D1B3A">
              <w:rPr>
                <w:bCs/>
                <w:sz w:val="20"/>
                <w:szCs w:val="20"/>
                <w:lang w:val="uk-UA"/>
              </w:rPr>
              <w:t>Вартість</w:t>
            </w:r>
          </w:p>
        </w:tc>
      </w:tr>
      <w:tr w:rsidR="000E0496" w:rsidRPr="008D1B3A" w14:paraId="5C1DC179" w14:textId="77777777" w:rsidTr="00A641B5">
        <w:trPr>
          <w:trHeight w:hRule="exact" w:val="724"/>
          <w:jc w:val="center"/>
        </w:trPr>
        <w:tc>
          <w:tcPr>
            <w:tcW w:w="3823" w:type="dxa"/>
            <w:shd w:val="clear" w:color="auto" w:fill="FFFFFF"/>
          </w:tcPr>
          <w:p w14:paraId="446F1140" w14:textId="77777777" w:rsidR="000E0496" w:rsidRPr="008D1B3A" w:rsidRDefault="000E0496" w:rsidP="000E0496">
            <w:pPr>
              <w:shd w:val="clear" w:color="auto" w:fill="FFFFFF"/>
              <w:jc w:val="both"/>
              <w:outlineLvl w:val="0"/>
              <w:rPr>
                <w:bCs/>
                <w:spacing w:val="-2"/>
                <w:sz w:val="20"/>
                <w:szCs w:val="20"/>
                <w:lang w:val="uk-UA"/>
              </w:rPr>
            </w:pPr>
            <w:r w:rsidRPr="008D1B3A">
              <w:rPr>
                <w:rFonts w:eastAsiaTheme="minorEastAsia"/>
                <w:sz w:val="20"/>
                <w:szCs w:val="20"/>
                <w:lang w:val="uk-UA"/>
              </w:rPr>
              <w:t>Облігації зовнішніх державних позик довгострокові відсоткові іменні</w:t>
            </w:r>
          </w:p>
        </w:tc>
        <w:tc>
          <w:tcPr>
            <w:tcW w:w="1275" w:type="dxa"/>
            <w:shd w:val="clear" w:color="auto" w:fill="FFFFFF"/>
          </w:tcPr>
          <w:p w14:paraId="3346AAB5" w14:textId="3104A815" w:rsidR="000E0496" w:rsidRPr="008D1B3A" w:rsidRDefault="000E0496" w:rsidP="000E0496">
            <w:pPr>
              <w:shd w:val="clear" w:color="auto" w:fill="FFFFFF"/>
              <w:ind w:firstLine="709"/>
              <w:jc w:val="center"/>
              <w:outlineLvl w:val="0"/>
              <w:rPr>
                <w:bCs/>
                <w:spacing w:val="-2"/>
                <w:sz w:val="20"/>
                <w:szCs w:val="20"/>
                <w:lang w:val="uk-UA"/>
              </w:rPr>
            </w:pPr>
            <w:r w:rsidRPr="008D1B3A">
              <w:rPr>
                <w:bCs/>
                <w:spacing w:val="-2"/>
                <w:sz w:val="20"/>
                <w:szCs w:val="20"/>
                <w:lang w:val="uk-UA"/>
              </w:rPr>
              <w:t>215</w:t>
            </w:r>
          </w:p>
        </w:tc>
        <w:tc>
          <w:tcPr>
            <w:tcW w:w="1276" w:type="dxa"/>
            <w:shd w:val="clear" w:color="auto" w:fill="FFFFFF"/>
          </w:tcPr>
          <w:p w14:paraId="3BF08FCE" w14:textId="7065998E" w:rsidR="000E0496" w:rsidRPr="008D1B3A" w:rsidRDefault="000E0496" w:rsidP="000E0496">
            <w:pPr>
              <w:shd w:val="clear" w:color="auto" w:fill="FFFFFF"/>
              <w:ind w:firstLine="709"/>
              <w:jc w:val="center"/>
              <w:outlineLvl w:val="0"/>
              <w:rPr>
                <w:bCs/>
                <w:spacing w:val="-2"/>
                <w:sz w:val="20"/>
                <w:szCs w:val="20"/>
                <w:lang w:val="uk-UA"/>
              </w:rPr>
            </w:pPr>
            <w:r w:rsidRPr="008D1B3A">
              <w:rPr>
                <w:bCs/>
                <w:sz w:val="20"/>
                <w:szCs w:val="20"/>
                <w:lang w:val="uk-UA"/>
              </w:rPr>
              <w:t xml:space="preserve">6 </w:t>
            </w:r>
            <w:r>
              <w:rPr>
                <w:bCs/>
                <w:sz w:val="20"/>
                <w:szCs w:val="20"/>
                <w:lang w:val="uk-UA"/>
              </w:rPr>
              <w:t>991</w:t>
            </w:r>
          </w:p>
        </w:tc>
        <w:tc>
          <w:tcPr>
            <w:tcW w:w="1134" w:type="dxa"/>
            <w:shd w:val="clear" w:color="auto" w:fill="FFFFFF"/>
          </w:tcPr>
          <w:p w14:paraId="73F5B038" w14:textId="4F063373" w:rsidR="000E0496" w:rsidRPr="008D1B3A" w:rsidRDefault="000E0496" w:rsidP="000E0496">
            <w:pPr>
              <w:shd w:val="clear" w:color="auto" w:fill="FFFFFF"/>
              <w:ind w:firstLine="709"/>
              <w:jc w:val="center"/>
              <w:outlineLvl w:val="0"/>
              <w:rPr>
                <w:bCs/>
                <w:spacing w:val="-2"/>
                <w:sz w:val="20"/>
                <w:szCs w:val="20"/>
                <w:lang w:val="uk-UA"/>
              </w:rPr>
            </w:pPr>
            <w:r w:rsidRPr="008D1B3A">
              <w:rPr>
                <w:bCs/>
                <w:spacing w:val="-2"/>
                <w:sz w:val="20"/>
                <w:szCs w:val="20"/>
                <w:lang w:val="uk-UA"/>
              </w:rPr>
              <w:t>215</w:t>
            </w:r>
          </w:p>
        </w:tc>
        <w:tc>
          <w:tcPr>
            <w:tcW w:w="1843" w:type="dxa"/>
            <w:shd w:val="clear" w:color="auto" w:fill="FFFFFF"/>
          </w:tcPr>
          <w:p w14:paraId="33764ABB" w14:textId="1E2F8021" w:rsidR="000E0496" w:rsidRPr="008D1B3A" w:rsidRDefault="000E0496" w:rsidP="000E0496">
            <w:pPr>
              <w:shd w:val="clear" w:color="auto" w:fill="FFFFFF"/>
              <w:ind w:firstLine="709"/>
              <w:jc w:val="center"/>
              <w:outlineLvl w:val="0"/>
              <w:rPr>
                <w:bCs/>
                <w:spacing w:val="-2"/>
                <w:sz w:val="20"/>
                <w:szCs w:val="20"/>
                <w:lang w:val="uk-UA"/>
              </w:rPr>
            </w:pPr>
            <w:r w:rsidRPr="008D1B3A">
              <w:rPr>
                <w:bCs/>
                <w:sz w:val="20"/>
                <w:szCs w:val="20"/>
                <w:lang w:val="uk-UA"/>
              </w:rPr>
              <w:t>6 895</w:t>
            </w:r>
          </w:p>
        </w:tc>
      </w:tr>
      <w:tr w:rsidR="000E0496" w:rsidRPr="008D1B3A" w14:paraId="5ED5ADBD" w14:textId="77777777" w:rsidTr="00A641B5">
        <w:trPr>
          <w:trHeight w:hRule="exact" w:val="326"/>
          <w:jc w:val="center"/>
        </w:trPr>
        <w:tc>
          <w:tcPr>
            <w:tcW w:w="3823" w:type="dxa"/>
            <w:shd w:val="clear" w:color="auto" w:fill="FFFFFF"/>
          </w:tcPr>
          <w:p w14:paraId="7C941B1E" w14:textId="77777777" w:rsidR="000E0496" w:rsidRPr="008D1B3A" w:rsidRDefault="000E0496" w:rsidP="000E0496">
            <w:pPr>
              <w:shd w:val="clear" w:color="auto" w:fill="FFFFFF"/>
              <w:ind w:firstLine="709"/>
              <w:jc w:val="both"/>
              <w:rPr>
                <w:b/>
                <w:bCs/>
                <w:i/>
                <w:iCs/>
                <w:spacing w:val="-2"/>
                <w:sz w:val="20"/>
                <w:szCs w:val="20"/>
                <w:lang w:val="uk-UA"/>
              </w:rPr>
            </w:pPr>
            <w:r w:rsidRPr="008D1B3A">
              <w:rPr>
                <w:b/>
                <w:bCs/>
                <w:i/>
                <w:iCs/>
                <w:spacing w:val="-2"/>
                <w:sz w:val="20"/>
                <w:szCs w:val="20"/>
                <w:lang w:val="uk-UA"/>
              </w:rPr>
              <w:t>Всього</w:t>
            </w:r>
          </w:p>
        </w:tc>
        <w:tc>
          <w:tcPr>
            <w:tcW w:w="1275" w:type="dxa"/>
            <w:shd w:val="clear" w:color="auto" w:fill="FFFFFF"/>
          </w:tcPr>
          <w:p w14:paraId="52693C2B" w14:textId="140B1D2F" w:rsidR="000E0496" w:rsidRPr="008D1B3A" w:rsidRDefault="000E0496" w:rsidP="000E0496">
            <w:pPr>
              <w:shd w:val="clear" w:color="auto" w:fill="FFFFFF"/>
              <w:ind w:firstLine="709"/>
              <w:jc w:val="center"/>
              <w:rPr>
                <w:b/>
                <w:bCs/>
                <w:i/>
                <w:iCs/>
                <w:spacing w:val="-2"/>
                <w:sz w:val="20"/>
                <w:szCs w:val="20"/>
                <w:lang w:val="uk-UA"/>
              </w:rPr>
            </w:pPr>
            <w:r w:rsidRPr="008D1B3A">
              <w:rPr>
                <w:b/>
                <w:bCs/>
                <w:i/>
                <w:iCs/>
                <w:spacing w:val="-2"/>
                <w:sz w:val="20"/>
                <w:szCs w:val="20"/>
                <w:lang w:val="uk-UA"/>
              </w:rPr>
              <w:t>Х</w:t>
            </w:r>
          </w:p>
        </w:tc>
        <w:tc>
          <w:tcPr>
            <w:tcW w:w="1276" w:type="dxa"/>
            <w:shd w:val="clear" w:color="auto" w:fill="FFFFFF"/>
          </w:tcPr>
          <w:p w14:paraId="2417E198" w14:textId="7A1A23B6" w:rsidR="000E0496" w:rsidRPr="008D1B3A" w:rsidRDefault="000E0496" w:rsidP="000E0496">
            <w:pPr>
              <w:shd w:val="clear" w:color="auto" w:fill="FFFFFF"/>
              <w:ind w:firstLine="709"/>
              <w:jc w:val="center"/>
              <w:rPr>
                <w:b/>
                <w:bCs/>
                <w:i/>
                <w:iCs/>
                <w:spacing w:val="-2"/>
                <w:sz w:val="20"/>
                <w:szCs w:val="20"/>
                <w:lang w:val="uk-UA"/>
              </w:rPr>
            </w:pPr>
            <w:r w:rsidRPr="008D1B3A">
              <w:rPr>
                <w:b/>
                <w:bCs/>
                <w:i/>
                <w:iCs/>
                <w:spacing w:val="-2"/>
                <w:sz w:val="20"/>
                <w:szCs w:val="20"/>
                <w:lang w:val="uk-UA"/>
              </w:rPr>
              <w:t xml:space="preserve">6 </w:t>
            </w:r>
            <w:r>
              <w:rPr>
                <w:b/>
                <w:bCs/>
                <w:i/>
                <w:iCs/>
                <w:spacing w:val="-2"/>
                <w:sz w:val="20"/>
                <w:szCs w:val="20"/>
                <w:lang w:val="uk-UA"/>
              </w:rPr>
              <w:t>991</w:t>
            </w:r>
          </w:p>
        </w:tc>
        <w:tc>
          <w:tcPr>
            <w:tcW w:w="1134" w:type="dxa"/>
            <w:shd w:val="clear" w:color="auto" w:fill="FFFFFF"/>
          </w:tcPr>
          <w:p w14:paraId="58E137C5" w14:textId="467C2803" w:rsidR="000E0496" w:rsidRPr="008D1B3A" w:rsidRDefault="000E0496" w:rsidP="000E0496">
            <w:pPr>
              <w:shd w:val="clear" w:color="auto" w:fill="FFFFFF"/>
              <w:ind w:firstLine="709"/>
              <w:jc w:val="center"/>
              <w:rPr>
                <w:b/>
                <w:bCs/>
                <w:i/>
                <w:iCs/>
                <w:spacing w:val="-2"/>
                <w:sz w:val="20"/>
                <w:szCs w:val="20"/>
                <w:lang w:val="uk-UA"/>
              </w:rPr>
            </w:pPr>
            <w:r w:rsidRPr="008D1B3A">
              <w:rPr>
                <w:b/>
                <w:bCs/>
                <w:i/>
                <w:iCs/>
                <w:spacing w:val="-2"/>
                <w:sz w:val="20"/>
                <w:szCs w:val="20"/>
                <w:lang w:val="uk-UA"/>
              </w:rPr>
              <w:t>Х</w:t>
            </w:r>
          </w:p>
        </w:tc>
        <w:tc>
          <w:tcPr>
            <w:tcW w:w="1843" w:type="dxa"/>
            <w:shd w:val="clear" w:color="auto" w:fill="FFFFFF"/>
          </w:tcPr>
          <w:p w14:paraId="532573BB" w14:textId="48F012F1" w:rsidR="000E0496" w:rsidRPr="008D1B3A" w:rsidRDefault="000E0496" w:rsidP="000E0496">
            <w:pPr>
              <w:shd w:val="clear" w:color="auto" w:fill="FFFFFF"/>
              <w:ind w:firstLine="709"/>
              <w:jc w:val="center"/>
              <w:rPr>
                <w:b/>
                <w:bCs/>
                <w:i/>
                <w:iCs/>
                <w:spacing w:val="-2"/>
                <w:sz w:val="20"/>
                <w:szCs w:val="20"/>
                <w:lang w:val="uk-UA"/>
              </w:rPr>
            </w:pPr>
            <w:r w:rsidRPr="008D1B3A">
              <w:rPr>
                <w:b/>
                <w:bCs/>
                <w:i/>
                <w:iCs/>
                <w:spacing w:val="-2"/>
                <w:sz w:val="20"/>
                <w:szCs w:val="20"/>
                <w:lang w:val="uk-UA"/>
              </w:rPr>
              <w:t>6 895</w:t>
            </w:r>
          </w:p>
        </w:tc>
      </w:tr>
    </w:tbl>
    <w:p w14:paraId="5AE804E2" w14:textId="5E79BBFB" w:rsidR="002B02C3" w:rsidRPr="000E05A8" w:rsidRDefault="00FA3650" w:rsidP="00FA3650">
      <w:pPr>
        <w:shd w:val="clear" w:color="auto" w:fill="FFFFFF"/>
        <w:autoSpaceDE w:val="0"/>
        <w:autoSpaceDN w:val="0"/>
        <w:adjustRightInd w:val="0"/>
        <w:ind w:firstLine="708"/>
        <w:jc w:val="both"/>
        <w:rPr>
          <w:sz w:val="22"/>
          <w:szCs w:val="22"/>
          <w:lang w:val="uk-UA"/>
        </w:rPr>
      </w:pPr>
      <w:r w:rsidRPr="000E05A8">
        <w:rPr>
          <w:sz w:val="22"/>
          <w:szCs w:val="22"/>
          <w:lang w:val="uk-UA"/>
        </w:rPr>
        <w:t xml:space="preserve">В Товаристві ці облігації обліковуються як короткострокові фінансові інвестиції та плануються утримуватися на строк до </w:t>
      </w:r>
      <w:r w:rsidR="00F81049" w:rsidRPr="000E05A8">
        <w:rPr>
          <w:sz w:val="22"/>
          <w:szCs w:val="22"/>
          <w:lang w:val="uk-UA"/>
        </w:rPr>
        <w:t>12</w:t>
      </w:r>
      <w:r w:rsidRPr="000E05A8">
        <w:rPr>
          <w:sz w:val="22"/>
          <w:szCs w:val="22"/>
          <w:lang w:val="uk-UA"/>
        </w:rPr>
        <w:t xml:space="preserve"> місяців.</w:t>
      </w:r>
      <w:r w:rsidR="00AE2BE1" w:rsidRPr="000E05A8">
        <w:rPr>
          <w:sz w:val="22"/>
          <w:szCs w:val="22"/>
          <w:lang w:val="uk-UA"/>
        </w:rPr>
        <w:t xml:space="preserve"> Більш детальна інформація </w:t>
      </w:r>
      <w:r w:rsidR="00AA2D6A" w:rsidRPr="000E05A8">
        <w:rPr>
          <w:sz w:val="22"/>
          <w:szCs w:val="22"/>
          <w:lang w:val="uk-UA"/>
        </w:rPr>
        <w:t xml:space="preserve">щодо фінансових інвестицій </w:t>
      </w:r>
      <w:r w:rsidR="00AE2BE1" w:rsidRPr="000E05A8">
        <w:rPr>
          <w:sz w:val="22"/>
          <w:szCs w:val="22"/>
          <w:lang w:val="uk-UA"/>
        </w:rPr>
        <w:t>описана в пункті</w:t>
      </w:r>
      <w:r w:rsidR="00AA2D6A" w:rsidRPr="000E05A8">
        <w:rPr>
          <w:sz w:val="22"/>
          <w:szCs w:val="22"/>
          <w:lang w:val="uk-UA"/>
        </w:rPr>
        <w:t xml:space="preserve"> </w:t>
      </w:r>
      <w:r w:rsidR="00F20CC4" w:rsidRPr="000E05A8">
        <w:rPr>
          <w:sz w:val="22"/>
          <w:szCs w:val="22"/>
          <w:lang w:val="uk-UA"/>
        </w:rPr>
        <w:t>5.4 цих Приміток.</w:t>
      </w:r>
    </w:p>
    <w:p w14:paraId="28D893E6" w14:textId="77777777" w:rsidR="00E022E0" w:rsidRPr="000E05A8" w:rsidRDefault="00E022E0" w:rsidP="00FA3650">
      <w:pPr>
        <w:shd w:val="clear" w:color="auto" w:fill="FFFFFF"/>
        <w:autoSpaceDE w:val="0"/>
        <w:autoSpaceDN w:val="0"/>
        <w:adjustRightInd w:val="0"/>
        <w:ind w:firstLine="708"/>
        <w:jc w:val="both"/>
        <w:rPr>
          <w:sz w:val="22"/>
          <w:szCs w:val="22"/>
          <w:lang w:val="uk-UA"/>
        </w:rPr>
      </w:pPr>
    </w:p>
    <w:p w14:paraId="78CCEE6C" w14:textId="2DEB1BA2"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6.</w:t>
      </w:r>
      <w:r w:rsidR="00D361E5" w:rsidRPr="000E05A8">
        <w:rPr>
          <w:b/>
          <w:bCs/>
          <w:i/>
          <w:spacing w:val="-2"/>
          <w:sz w:val="22"/>
          <w:szCs w:val="22"/>
          <w:lang w:val="uk-UA"/>
        </w:rPr>
        <w:t>7</w:t>
      </w:r>
      <w:r w:rsidRPr="000E05A8">
        <w:rPr>
          <w:b/>
          <w:bCs/>
          <w:i/>
          <w:spacing w:val="-2"/>
          <w:sz w:val="22"/>
          <w:szCs w:val="22"/>
          <w:lang w:val="uk-UA"/>
        </w:rPr>
        <w:t>. Грошові кошти</w:t>
      </w:r>
    </w:p>
    <w:p w14:paraId="2F8FE2E1" w14:textId="22852813" w:rsidR="006A76DC" w:rsidRPr="000E05A8" w:rsidRDefault="006A76DC" w:rsidP="006504B4">
      <w:pPr>
        <w:shd w:val="clear" w:color="auto" w:fill="FFFFFF"/>
        <w:ind w:firstLine="709"/>
        <w:jc w:val="right"/>
        <w:outlineLvl w:val="0"/>
        <w:rPr>
          <w:b/>
          <w:bCs/>
          <w:i/>
          <w:spacing w:val="-2"/>
          <w:sz w:val="22"/>
          <w:szCs w:val="22"/>
          <w:lang w:val="uk-UA"/>
        </w:rPr>
      </w:pPr>
      <w:r w:rsidRPr="000E05A8">
        <w:rPr>
          <w:sz w:val="22"/>
          <w:szCs w:val="22"/>
          <w:lang w:val="uk-UA"/>
        </w:rPr>
        <w:t>(тис. грн.</w:t>
      </w:r>
      <w:r w:rsidR="006504B4" w:rsidRPr="000E05A8">
        <w:rPr>
          <w:sz w:val="22"/>
          <w:szCs w:val="22"/>
          <w:lang w:val="uk-UA"/>
        </w:rPr>
        <w:t>)</w:t>
      </w:r>
    </w:p>
    <w:tbl>
      <w:tblPr>
        <w:tblW w:w="0" w:type="auto"/>
        <w:tblInd w:w="40" w:type="dxa"/>
        <w:tblLayout w:type="fixed"/>
        <w:tblCellMar>
          <w:left w:w="40" w:type="dxa"/>
          <w:right w:w="40" w:type="dxa"/>
        </w:tblCellMar>
        <w:tblLook w:val="0000" w:firstRow="0" w:lastRow="0" w:firstColumn="0" w:lastColumn="0" w:noHBand="0" w:noVBand="0"/>
      </w:tblPr>
      <w:tblGrid>
        <w:gridCol w:w="5400"/>
        <w:gridCol w:w="2065"/>
        <w:gridCol w:w="2065"/>
      </w:tblGrid>
      <w:tr w:rsidR="00F10348" w:rsidRPr="008D1B3A" w14:paraId="03F9681E" w14:textId="77777777" w:rsidTr="00AF67C9">
        <w:trPr>
          <w:trHeight w:hRule="exact" w:val="31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8E39B8B" w14:textId="77777777" w:rsidR="00F10348" w:rsidRPr="008D1B3A" w:rsidRDefault="00F10348" w:rsidP="00794809">
            <w:pPr>
              <w:shd w:val="clear" w:color="auto" w:fill="FFFFFF"/>
              <w:ind w:firstLine="709"/>
              <w:jc w:val="both"/>
              <w:rPr>
                <w:bCs/>
                <w:sz w:val="20"/>
                <w:szCs w:val="20"/>
                <w:lang w:val="uk-UA"/>
              </w:rPr>
            </w:pPr>
            <w:r w:rsidRPr="008D1B3A">
              <w:rPr>
                <w:bCs/>
                <w:sz w:val="20"/>
                <w:szCs w:val="20"/>
                <w:lang w:val="uk-UA"/>
              </w:rPr>
              <w:t>Найменування статті</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1C47823B" w14:textId="52581A9F" w:rsidR="00F10348" w:rsidRPr="008D1B3A" w:rsidRDefault="00F10348" w:rsidP="002824FD">
            <w:pPr>
              <w:shd w:val="clear" w:color="auto" w:fill="FFFFFF"/>
              <w:jc w:val="center"/>
              <w:rPr>
                <w:bCs/>
                <w:sz w:val="20"/>
                <w:szCs w:val="20"/>
                <w:lang w:val="uk-UA"/>
              </w:rPr>
            </w:pPr>
            <w:r>
              <w:rPr>
                <w:bCs/>
                <w:sz w:val="20"/>
                <w:szCs w:val="20"/>
                <w:lang w:val="uk-UA"/>
              </w:rPr>
              <w:t>31.12.2020</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7ED31C80" w14:textId="3F78E720" w:rsidR="00F10348" w:rsidRPr="008D1B3A" w:rsidRDefault="00F10348" w:rsidP="002824FD">
            <w:pPr>
              <w:shd w:val="clear" w:color="auto" w:fill="FFFFFF"/>
              <w:jc w:val="center"/>
              <w:rPr>
                <w:bCs/>
                <w:sz w:val="20"/>
                <w:szCs w:val="20"/>
                <w:lang w:val="uk-UA"/>
              </w:rPr>
            </w:pPr>
            <w:r w:rsidRPr="008D1B3A">
              <w:rPr>
                <w:bCs/>
                <w:sz w:val="20"/>
                <w:szCs w:val="20"/>
                <w:lang w:val="uk-UA"/>
              </w:rPr>
              <w:t>31.03.2021</w:t>
            </w:r>
          </w:p>
        </w:tc>
      </w:tr>
      <w:tr w:rsidR="00F10348" w:rsidRPr="008D1B3A" w14:paraId="162D8932" w14:textId="77777777" w:rsidTr="00AF67C9">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21C0611" w14:textId="0DC3DC67" w:rsidR="00F10348" w:rsidRPr="008D1B3A" w:rsidRDefault="00F10348" w:rsidP="00703E3C">
            <w:pPr>
              <w:shd w:val="clear" w:color="auto" w:fill="FFFFFF"/>
              <w:jc w:val="both"/>
              <w:rPr>
                <w:bCs/>
                <w:sz w:val="20"/>
                <w:szCs w:val="20"/>
                <w:lang w:val="uk-UA"/>
              </w:rPr>
            </w:pPr>
            <w:r w:rsidRPr="008D1B3A">
              <w:rPr>
                <w:bCs/>
                <w:sz w:val="20"/>
                <w:szCs w:val="20"/>
                <w:lang w:val="uk-UA"/>
              </w:rPr>
              <w:t xml:space="preserve">Рахунки в банках, </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08E4289E" w14:textId="6A3AFCF0" w:rsidR="00F10348" w:rsidRPr="008D1B3A" w:rsidRDefault="005B63E1" w:rsidP="008D1B3A">
            <w:pPr>
              <w:shd w:val="clear" w:color="auto" w:fill="FFFFFF"/>
              <w:ind w:firstLine="41"/>
              <w:jc w:val="center"/>
              <w:rPr>
                <w:bCs/>
                <w:sz w:val="20"/>
                <w:szCs w:val="20"/>
                <w:lang w:val="uk-UA"/>
              </w:rPr>
            </w:pPr>
            <w:r>
              <w:rPr>
                <w:bCs/>
                <w:sz w:val="20"/>
                <w:szCs w:val="20"/>
                <w:lang w:val="uk-UA"/>
              </w:rPr>
              <w:t>115</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5821725F" w14:textId="7FE17F78" w:rsidR="00F10348" w:rsidRPr="008D1B3A" w:rsidRDefault="00F10348" w:rsidP="008D1B3A">
            <w:pPr>
              <w:shd w:val="clear" w:color="auto" w:fill="FFFFFF"/>
              <w:ind w:firstLine="41"/>
              <w:jc w:val="center"/>
              <w:rPr>
                <w:bCs/>
                <w:sz w:val="20"/>
                <w:szCs w:val="20"/>
                <w:lang w:val="uk-UA"/>
              </w:rPr>
            </w:pPr>
            <w:r w:rsidRPr="008D1B3A">
              <w:rPr>
                <w:bCs/>
                <w:sz w:val="20"/>
                <w:szCs w:val="20"/>
                <w:lang w:val="uk-UA"/>
              </w:rPr>
              <w:t>32</w:t>
            </w:r>
          </w:p>
        </w:tc>
      </w:tr>
      <w:tr w:rsidR="00F10348" w:rsidRPr="008D1B3A" w14:paraId="0274EBB3" w14:textId="77777777" w:rsidTr="00AF67C9">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50B44458" w14:textId="416AB571" w:rsidR="00F10348" w:rsidRPr="008D1B3A" w:rsidRDefault="00F10348" w:rsidP="00703E3C">
            <w:pPr>
              <w:shd w:val="clear" w:color="auto" w:fill="FFFFFF"/>
              <w:jc w:val="both"/>
              <w:rPr>
                <w:bCs/>
                <w:sz w:val="20"/>
                <w:szCs w:val="20"/>
                <w:lang w:val="uk-UA"/>
              </w:rPr>
            </w:pPr>
            <w:r w:rsidRPr="008D1B3A">
              <w:rPr>
                <w:bCs/>
                <w:sz w:val="20"/>
                <w:szCs w:val="20"/>
                <w:lang w:val="uk-UA"/>
              </w:rPr>
              <w:t>Еквіваленти грошових коштів</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755C5CFC" w14:textId="74067D51" w:rsidR="00F10348" w:rsidRPr="008D1B3A" w:rsidRDefault="005B63E1" w:rsidP="008D1B3A">
            <w:pPr>
              <w:shd w:val="clear" w:color="auto" w:fill="FFFFFF"/>
              <w:ind w:firstLine="41"/>
              <w:jc w:val="center"/>
              <w:rPr>
                <w:bCs/>
                <w:sz w:val="20"/>
                <w:szCs w:val="20"/>
                <w:lang w:val="uk-UA"/>
              </w:rPr>
            </w:pPr>
            <w:r>
              <w:rPr>
                <w:bCs/>
                <w:sz w:val="20"/>
                <w:szCs w:val="20"/>
                <w:lang w:val="uk-UA"/>
              </w:rPr>
              <w:t>-</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2EAEC97F" w14:textId="396F13EE" w:rsidR="00F10348" w:rsidRPr="008D1B3A" w:rsidRDefault="00F10348" w:rsidP="008D1B3A">
            <w:pPr>
              <w:shd w:val="clear" w:color="auto" w:fill="FFFFFF"/>
              <w:ind w:firstLine="41"/>
              <w:jc w:val="center"/>
              <w:rPr>
                <w:bCs/>
                <w:sz w:val="20"/>
                <w:szCs w:val="20"/>
                <w:lang w:val="uk-UA"/>
              </w:rPr>
            </w:pPr>
            <w:r w:rsidRPr="008D1B3A">
              <w:rPr>
                <w:bCs/>
                <w:sz w:val="20"/>
                <w:szCs w:val="20"/>
                <w:lang w:val="uk-UA"/>
              </w:rPr>
              <w:t>115</w:t>
            </w:r>
          </w:p>
        </w:tc>
      </w:tr>
      <w:tr w:rsidR="00F10348" w:rsidRPr="008D1B3A" w14:paraId="58B2055C" w14:textId="77777777" w:rsidTr="00AF67C9">
        <w:trPr>
          <w:trHeight w:hRule="exact" w:val="32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BF4FF1B" w14:textId="77777777" w:rsidR="00F10348" w:rsidRPr="008D1B3A" w:rsidRDefault="00F10348" w:rsidP="00703E3C">
            <w:pPr>
              <w:shd w:val="clear" w:color="auto" w:fill="FFFFFF"/>
              <w:jc w:val="both"/>
              <w:rPr>
                <w:b/>
                <w:i/>
                <w:sz w:val="20"/>
                <w:szCs w:val="20"/>
                <w:lang w:val="uk-UA"/>
              </w:rPr>
            </w:pPr>
            <w:r w:rsidRPr="008D1B3A">
              <w:rPr>
                <w:b/>
                <w:i/>
                <w:sz w:val="20"/>
                <w:szCs w:val="20"/>
                <w:lang w:val="uk-UA"/>
              </w:rPr>
              <w:t xml:space="preserve">Всього грошові кошти </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645C7DEB" w14:textId="213D6C01" w:rsidR="00F10348" w:rsidRPr="008D1B3A" w:rsidRDefault="005B63E1" w:rsidP="008D1B3A">
            <w:pPr>
              <w:shd w:val="clear" w:color="auto" w:fill="FFFFFF"/>
              <w:ind w:firstLine="41"/>
              <w:jc w:val="center"/>
              <w:rPr>
                <w:b/>
                <w:sz w:val="20"/>
                <w:szCs w:val="20"/>
                <w:lang w:val="uk-UA"/>
              </w:rPr>
            </w:pPr>
            <w:r>
              <w:rPr>
                <w:b/>
                <w:sz w:val="20"/>
                <w:szCs w:val="20"/>
                <w:lang w:val="uk-UA"/>
              </w:rPr>
              <w:t>115</w:t>
            </w:r>
          </w:p>
        </w:tc>
        <w:tc>
          <w:tcPr>
            <w:tcW w:w="2065" w:type="dxa"/>
            <w:tcBorders>
              <w:top w:val="single" w:sz="6" w:space="0" w:color="auto"/>
              <w:left w:val="single" w:sz="6" w:space="0" w:color="auto"/>
              <w:bottom w:val="single" w:sz="6" w:space="0" w:color="auto"/>
              <w:right w:val="single" w:sz="6" w:space="0" w:color="auto"/>
            </w:tcBorders>
            <w:shd w:val="clear" w:color="auto" w:fill="FFFFFF"/>
          </w:tcPr>
          <w:p w14:paraId="30EB94A3" w14:textId="6B598552" w:rsidR="00F10348" w:rsidRPr="008D1B3A" w:rsidRDefault="00F10348" w:rsidP="008D1B3A">
            <w:pPr>
              <w:shd w:val="clear" w:color="auto" w:fill="FFFFFF"/>
              <w:ind w:firstLine="41"/>
              <w:jc w:val="center"/>
              <w:rPr>
                <w:b/>
                <w:sz w:val="20"/>
                <w:szCs w:val="20"/>
                <w:lang w:val="uk-UA"/>
              </w:rPr>
            </w:pPr>
            <w:r w:rsidRPr="008D1B3A">
              <w:rPr>
                <w:b/>
                <w:sz w:val="20"/>
                <w:szCs w:val="20"/>
                <w:lang w:val="uk-UA"/>
              </w:rPr>
              <w:t>147</w:t>
            </w:r>
          </w:p>
        </w:tc>
      </w:tr>
    </w:tbl>
    <w:p w14:paraId="40847396" w14:textId="4CD19BCD"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bCs/>
          <w:spacing w:val="-2"/>
          <w:sz w:val="22"/>
          <w:szCs w:val="22"/>
          <w:lang w:val="uk-UA"/>
        </w:rPr>
        <w:t xml:space="preserve">Станом на </w:t>
      </w:r>
      <w:r w:rsidR="00980979" w:rsidRPr="000E05A8">
        <w:rPr>
          <w:bCs/>
          <w:spacing w:val="-2"/>
          <w:sz w:val="22"/>
          <w:szCs w:val="22"/>
          <w:lang w:val="uk-UA"/>
        </w:rPr>
        <w:t>31.03.2021</w:t>
      </w:r>
      <w:r w:rsidRPr="000E05A8">
        <w:rPr>
          <w:bCs/>
          <w:spacing w:val="-2"/>
          <w:sz w:val="22"/>
          <w:szCs w:val="22"/>
          <w:lang w:val="uk-UA"/>
        </w:rPr>
        <w:t xml:space="preserve"> р. на поточному рахунку </w:t>
      </w:r>
      <w:r w:rsidR="005A3EE0" w:rsidRPr="000E05A8">
        <w:rPr>
          <w:bCs/>
          <w:spacing w:val="-2"/>
          <w:sz w:val="22"/>
          <w:szCs w:val="22"/>
          <w:lang w:val="uk-UA"/>
        </w:rPr>
        <w:t>в</w:t>
      </w:r>
      <w:r w:rsidRPr="000E05A8">
        <w:rPr>
          <w:bCs/>
          <w:spacing w:val="-2"/>
          <w:sz w:val="22"/>
          <w:szCs w:val="22"/>
          <w:lang w:val="uk-UA"/>
        </w:rPr>
        <w:t xml:space="preserve"> банку обліковуються за номінальною вартістю грошові кошти на суму </w:t>
      </w:r>
      <w:r w:rsidR="00ED7FA0" w:rsidRPr="000E05A8">
        <w:rPr>
          <w:bCs/>
          <w:spacing w:val="-2"/>
          <w:sz w:val="22"/>
          <w:szCs w:val="22"/>
          <w:lang w:val="uk-UA"/>
        </w:rPr>
        <w:t>32</w:t>
      </w:r>
      <w:r w:rsidRPr="000E05A8">
        <w:rPr>
          <w:bCs/>
          <w:spacing w:val="-2"/>
          <w:sz w:val="22"/>
          <w:szCs w:val="22"/>
          <w:lang w:val="uk-UA"/>
        </w:rPr>
        <w:t xml:space="preserve"> тис.</w:t>
      </w:r>
      <w:r w:rsidR="001B6E22" w:rsidRPr="000E05A8">
        <w:rPr>
          <w:bCs/>
          <w:spacing w:val="-2"/>
          <w:sz w:val="22"/>
          <w:szCs w:val="22"/>
          <w:lang w:val="uk-UA"/>
        </w:rPr>
        <w:t xml:space="preserve"> </w:t>
      </w:r>
      <w:r w:rsidRPr="000E05A8">
        <w:rPr>
          <w:bCs/>
          <w:spacing w:val="-2"/>
          <w:sz w:val="22"/>
          <w:szCs w:val="22"/>
          <w:lang w:val="uk-UA"/>
        </w:rPr>
        <w:t>грн.</w:t>
      </w:r>
      <w:r w:rsidRPr="000E05A8">
        <w:rPr>
          <w:sz w:val="22"/>
          <w:szCs w:val="22"/>
          <w:lang w:val="uk-UA"/>
        </w:rPr>
        <w:t xml:space="preserve"> Поточний рахунок відкрито у банку АТ «</w:t>
      </w:r>
      <w:r w:rsidR="001B2D67" w:rsidRPr="000E05A8">
        <w:rPr>
          <w:sz w:val="22"/>
          <w:szCs w:val="22"/>
          <w:lang w:val="uk-UA"/>
        </w:rPr>
        <w:t>ПУМБ</w:t>
      </w:r>
      <w:r w:rsidRPr="000E05A8">
        <w:rPr>
          <w:sz w:val="22"/>
          <w:szCs w:val="22"/>
          <w:lang w:val="uk-UA"/>
        </w:rPr>
        <w:t xml:space="preserve">». </w:t>
      </w:r>
    </w:p>
    <w:p w14:paraId="2052E9B5" w14:textId="4E9CC00B" w:rsidR="00ED7FA0" w:rsidRPr="000E05A8" w:rsidRDefault="006504B4" w:rsidP="00794809">
      <w:pPr>
        <w:shd w:val="clear" w:color="auto" w:fill="FFFFFF"/>
        <w:autoSpaceDE w:val="0"/>
        <w:autoSpaceDN w:val="0"/>
        <w:adjustRightInd w:val="0"/>
        <w:ind w:firstLine="709"/>
        <w:jc w:val="both"/>
        <w:rPr>
          <w:sz w:val="22"/>
          <w:szCs w:val="22"/>
          <w:lang w:val="uk-UA"/>
        </w:rPr>
      </w:pPr>
      <w:r w:rsidRPr="000E05A8">
        <w:rPr>
          <w:sz w:val="22"/>
          <w:szCs w:val="22"/>
          <w:lang w:val="uk-UA"/>
        </w:rPr>
        <w:t>Еквівалент грошових коштів</w:t>
      </w:r>
      <w:r w:rsidR="003F01D8" w:rsidRPr="000E05A8">
        <w:rPr>
          <w:sz w:val="22"/>
          <w:szCs w:val="22"/>
          <w:lang w:val="uk-UA"/>
        </w:rPr>
        <w:t xml:space="preserve"> знаходиться</w:t>
      </w:r>
      <w:r w:rsidRPr="000E05A8">
        <w:rPr>
          <w:sz w:val="22"/>
          <w:szCs w:val="22"/>
          <w:lang w:val="uk-UA"/>
        </w:rPr>
        <w:t xml:space="preserve"> </w:t>
      </w:r>
      <w:r w:rsidR="003D7946" w:rsidRPr="000E05A8">
        <w:rPr>
          <w:sz w:val="22"/>
          <w:szCs w:val="22"/>
          <w:lang w:val="uk-UA"/>
        </w:rPr>
        <w:t xml:space="preserve"> на неторговому рахунку в </w:t>
      </w:r>
      <w:r w:rsidR="00CA04D0" w:rsidRPr="000E05A8">
        <w:rPr>
          <w:sz w:val="22"/>
          <w:szCs w:val="22"/>
          <w:lang w:val="uk-UA"/>
        </w:rPr>
        <w:t xml:space="preserve">ТОВ «ФРІДОМ ФІНАНС УКРАЇНА» (код </w:t>
      </w:r>
      <w:r w:rsidR="00CA04D0" w:rsidRPr="000E05A8">
        <w:rPr>
          <w:rFonts w:eastAsiaTheme="minorEastAsia"/>
          <w:sz w:val="22"/>
          <w:szCs w:val="22"/>
          <w:lang w:val="uk-UA"/>
        </w:rPr>
        <w:t>21654295)</w:t>
      </w:r>
      <w:r w:rsidR="003070AC" w:rsidRPr="000E05A8">
        <w:rPr>
          <w:rFonts w:eastAsiaTheme="minorEastAsia"/>
          <w:sz w:val="22"/>
          <w:szCs w:val="22"/>
          <w:lang w:val="uk-UA"/>
        </w:rPr>
        <w:t xml:space="preserve"> </w:t>
      </w:r>
      <w:r w:rsidR="003F01D8" w:rsidRPr="000E05A8">
        <w:rPr>
          <w:rFonts w:eastAsiaTheme="minorEastAsia"/>
          <w:sz w:val="22"/>
          <w:szCs w:val="22"/>
          <w:lang w:val="uk-UA"/>
        </w:rPr>
        <w:t xml:space="preserve">та становить </w:t>
      </w:r>
      <w:r w:rsidR="003070AC" w:rsidRPr="000E05A8">
        <w:rPr>
          <w:rFonts w:eastAsiaTheme="minorEastAsia"/>
          <w:sz w:val="22"/>
          <w:szCs w:val="22"/>
          <w:lang w:val="uk-UA"/>
        </w:rPr>
        <w:t>115 тис.грн.</w:t>
      </w:r>
    </w:p>
    <w:p w14:paraId="7EDDAF08" w14:textId="3223C712" w:rsidR="0010665B" w:rsidRPr="000E05A8" w:rsidRDefault="0010665B" w:rsidP="0010665B">
      <w:pPr>
        <w:jc w:val="both"/>
        <w:textAlignment w:val="baseline"/>
        <w:rPr>
          <w:sz w:val="22"/>
          <w:szCs w:val="22"/>
        </w:rPr>
      </w:pPr>
      <w:r w:rsidRPr="000E05A8">
        <w:rPr>
          <w:sz w:val="22"/>
          <w:szCs w:val="22"/>
          <w:lang w:val="uk-UA"/>
        </w:rPr>
        <w:t xml:space="preserve">     </w:t>
      </w:r>
      <w:r w:rsidR="00D1169E" w:rsidRPr="000E05A8">
        <w:rPr>
          <w:sz w:val="22"/>
          <w:szCs w:val="22"/>
          <w:lang w:val="uk-UA"/>
        </w:rPr>
        <w:t xml:space="preserve">       </w:t>
      </w:r>
      <w:r w:rsidRPr="000E05A8">
        <w:rPr>
          <w:sz w:val="22"/>
          <w:szCs w:val="22"/>
        </w:rPr>
        <w:t>Незалежна рейтингова агенція «Кредит-Рейтинг» підтвердила довгостроковий кредитний рейтинг Першого Українського Міжнародного Банку (ПУМБ) на рівні uaААА. Прогноз рейтингу - стабільний. Агенція також підтвердила рейтинг надійності депозитів банку на рівні «5» (найвища надійність).</w:t>
      </w:r>
    </w:p>
    <w:p w14:paraId="1990C2BD" w14:textId="77777777" w:rsidR="0010665B" w:rsidRPr="000E05A8" w:rsidRDefault="0010665B" w:rsidP="0010665B">
      <w:pPr>
        <w:jc w:val="both"/>
        <w:textAlignment w:val="baseline"/>
        <w:rPr>
          <w:sz w:val="22"/>
          <w:szCs w:val="22"/>
        </w:rPr>
      </w:pPr>
      <w:r w:rsidRPr="000E05A8">
        <w:rPr>
          <w:sz w:val="22"/>
          <w:szCs w:val="22"/>
        </w:rPr>
        <w:t>Рейтинг uaAAА означає дуже високу кредитоспроможність банку.</w:t>
      </w:r>
    </w:p>
    <w:p w14:paraId="618B97D0" w14:textId="738C2493" w:rsidR="0010665B" w:rsidRPr="000E05A8" w:rsidRDefault="00D1169E" w:rsidP="0010665B">
      <w:pPr>
        <w:jc w:val="both"/>
        <w:textAlignment w:val="baseline"/>
        <w:rPr>
          <w:sz w:val="22"/>
          <w:szCs w:val="22"/>
          <w:lang w:val="uk-UA"/>
        </w:rPr>
      </w:pPr>
      <w:r w:rsidRPr="000E05A8">
        <w:rPr>
          <w:sz w:val="22"/>
          <w:szCs w:val="22"/>
          <w:lang w:val="uk-UA"/>
        </w:rPr>
        <w:t xml:space="preserve">             </w:t>
      </w:r>
      <w:r w:rsidR="0010665B" w:rsidRPr="000E05A8">
        <w:rPr>
          <w:sz w:val="22"/>
          <w:szCs w:val="22"/>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p>
    <w:p w14:paraId="742C9376" w14:textId="77777777" w:rsidR="001B6E22" w:rsidRPr="000E05A8" w:rsidRDefault="001B6E22" w:rsidP="00794809">
      <w:pPr>
        <w:shd w:val="clear" w:color="auto" w:fill="FFFFFF"/>
        <w:ind w:firstLine="709"/>
        <w:jc w:val="both"/>
        <w:outlineLvl w:val="0"/>
        <w:rPr>
          <w:b/>
          <w:bCs/>
          <w:i/>
          <w:spacing w:val="-2"/>
          <w:sz w:val="22"/>
          <w:szCs w:val="22"/>
          <w:lang w:val="uk-UA"/>
        </w:rPr>
      </w:pPr>
    </w:p>
    <w:p w14:paraId="6D220715" w14:textId="7AD520CB"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6.</w:t>
      </w:r>
      <w:r w:rsidR="00D361E5" w:rsidRPr="000E05A8">
        <w:rPr>
          <w:b/>
          <w:bCs/>
          <w:i/>
          <w:spacing w:val="-2"/>
          <w:sz w:val="22"/>
          <w:szCs w:val="22"/>
          <w:lang w:val="uk-UA"/>
        </w:rPr>
        <w:t>8</w:t>
      </w:r>
      <w:r w:rsidRPr="000E05A8">
        <w:rPr>
          <w:b/>
          <w:bCs/>
          <w:i/>
          <w:spacing w:val="-2"/>
          <w:sz w:val="22"/>
          <w:szCs w:val="22"/>
          <w:lang w:val="uk-UA"/>
        </w:rPr>
        <w:t>. Власний капітал</w:t>
      </w:r>
    </w:p>
    <w:p w14:paraId="4D769C27" w14:textId="3A10061B"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Зареєстрований статутний</w:t>
      </w:r>
      <w:r w:rsidRPr="000E05A8">
        <w:rPr>
          <w:color w:val="FF0000"/>
          <w:sz w:val="22"/>
          <w:szCs w:val="22"/>
          <w:lang w:val="uk-UA"/>
        </w:rPr>
        <w:t xml:space="preserve"> </w:t>
      </w:r>
      <w:r w:rsidRPr="000E05A8">
        <w:rPr>
          <w:sz w:val="22"/>
          <w:szCs w:val="22"/>
          <w:lang w:val="uk-UA"/>
        </w:rPr>
        <w:t xml:space="preserve">капітал Товариства сформований у відповідності до законодавства України та </w:t>
      </w:r>
      <w:r w:rsidR="000B11FD" w:rsidRPr="000E05A8">
        <w:rPr>
          <w:sz w:val="22"/>
          <w:szCs w:val="22"/>
          <w:lang w:val="uk-UA"/>
        </w:rPr>
        <w:t xml:space="preserve">станом на </w:t>
      </w:r>
      <w:r w:rsidR="00980979" w:rsidRPr="000E05A8">
        <w:rPr>
          <w:sz w:val="22"/>
          <w:szCs w:val="22"/>
          <w:lang w:val="uk-UA"/>
        </w:rPr>
        <w:t>31.03.2021</w:t>
      </w:r>
      <w:r w:rsidR="000B11FD" w:rsidRPr="000E05A8">
        <w:rPr>
          <w:sz w:val="22"/>
          <w:szCs w:val="22"/>
          <w:lang w:val="uk-UA"/>
        </w:rPr>
        <w:t xml:space="preserve"> року </w:t>
      </w:r>
      <w:r w:rsidRPr="000E05A8">
        <w:rPr>
          <w:sz w:val="22"/>
          <w:szCs w:val="22"/>
          <w:lang w:val="uk-UA"/>
        </w:rPr>
        <w:t>сплачений</w:t>
      </w:r>
      <w:r w:rsidR="00E2438F" w:rsidRPr="000E05A8">
        <w:rPr>
          <w:color w:val="FF0000"/>
          <w:sz w:val="22"/>
          <w:szCs w:val="22"/>
          <w:lang w:val="uk-UA"/>
        </w:rPr>
        <w:t xml:space="preserve"> </w:t>
      </w:r>
      <w:r w:rsidRPr="000E05A8">
        <w:rPr>
          <w:sz w:val="22"/>
          <w:szCs w:val="22"/>
          <w:lang w:val="uk-UA"/>
        </w:rPr>
        <w:t xml:space="preserve">повністю грошовими коштами. Розмір статутного капіталу станом на </w:t>
      </w:r>
      <w:r w:rsidR="00980979" w:rsidRPr="000E05A8">
        <w:rPr>
          <w:sz w:val="22"/>
          <w:szCs w:val="22"/>
          <w:lang w:val="uk-UA"/>
        </w:rPr>
        <w:t>31.03.2021</w:t>
      </w:r>
      <w:r w:rsidRPr="000E05A8">
        <w:rPr>
          <w:sz w:val="22"/>
          <w:szCs w:val="22"/>
          <w:lang w:val="uk-UA"/>
        </w:rPr>
        <w:t xml:space="preserve"> року складає </w:t>
      </w:r>
      <w:r w:rsidR="003676D0" w:rsidRPr="000E05A8">
        <w:rPr>
          <w:sz w:val="22"/>
          <w:szCs w:val="22"/>
        </w:rPr>
        <w:t>7 5</w:t>
      </w:r>
      <w:r w:rsidRPr="000E05A8">
        <w:rPr>
          <w:sz w:val="22"/>
          <w:szCs w:val="22"/>
          <w:lang w:val="uk-UA"/>
        </w:rPr>
        <w:t>00</w:t>
      </w:r>
      <w:r w:rsidR="003676D0" w:rsidRPr="000E05A8">
        <w:rPr>
          <w:sz w:val="22"/>
          <w:szCs w:val="22"/>
        </w:rPr>
        <w:t xml:space="preserve"> </w:t>
      </w:r>
      <w:r w:rsidRPr="000E05A8">
        <w:rPr>
          <w:sz w:val="22"/>
          <w:szCs w:val="22"/>
          <w:lang w:val="uk-UA"/>
        </w:rPr>
        <w:t>000.00 (</w:t>
      </w:r>
      <w:r w:rsidR="003676D0" w:rsidRPr="000E05A8">
        <w:rPr>
          <w:sz w:val="22"/>
          <w:szCs w:val="22"/>
          <w:lang w:val="uk-UA"/>
        </w:rPr>
        <w:t>сім</w:t>
      </w:r>
      <w:r w:rsidRPr="000E05A8">
        <w:rPr>
          <w:sz w:val="22"/>
          <w:szCs w:val="22"/>
          <w:lang w:val="uk-UA"/>
        </w:rPr>
        <w:t xml:space="preserve"> мільйонів</w:t>
      </w:r>
      <w:r w:rsidR="003676D0" w:rsidRPr="000E05A8">
        <w:rPr>
          <w:sz w:val="22"/>
          <w:szCs w:val="22"/>
          <w:lang w:val="uk-UA"/>
        </w:rPr>
        <w:t xml:space="preserve"> п</w:t>
      </w:r>
      <w:r w:rsidR="00A75A7C" w:rsidRPr="000E05A8">
        <w:rPr>
          <w:sz w:val="22"/>
          <w:szCs w:val="22"/>
        </w:rPr>
        <w:t>’</w:t>
      </w:r>
      <w:r w:rsidR="003676D0" w:rsidRPr="000E05A8">
        <w:rPr>
          <w:sz w:val="22"/>
          <w:szCs w:val="22"/>
          <w:lang w:val="uk-UA"/>
        </w:rPr>
        <w:t xml:space="preserve">ятсот </w:t>
      </w:r>
      <w:r w:rsidRPr="000E05A8">
        <w:rPr>
          <w:sz w:val="22"/>
          <w:szCs w:val="22"/>
          <w:lang w:val="uk-UA"/>
        </w:rPr>
        <w:t xml:space="preserve"> </w:t>
      </w:r>
      <w:r w:rsidR="00A75A7C" w:rsidRPr="000E05A8">
        <w:rPr>
          <w:sz w:val="22"/>
          <w:szCs w:val="22"/>
          <w:lang w:val="uk-UA"/>
        </w:rPr>
        <w:t xml:space="preserve">тисяч </w:t>
      </w:r>
      <w:r w:rsidRPr="000E05A8">
        <w:rPr>
          <w:sz w:val="22"/>
          <w:szCs w:val="22"/>
          <w:lang w:val="uk-UA"/>
        </w:rPr>
        <w:t xml:space="preserve">гривень). </w:t>
      </w:r>
    </w:p>
    <w:p w14:paraId="5A5150D1" w14:textId="6E803498" w:rsidR="00752554" w:rsidRPr="000E05A8" w:rsidRDefault="00752554" w:rsidP="00794809">
      <w:pPr>
        <w:ind w:firstLine="709"/>
        <w:jc w:val="both"/>
        <w:rPr>
          <w:sz w:val="22"/>
          <w:szCs w:val="22"/>
          <w:lang w:val="uk-UA"/>
        </w:rPr>
      </w:pPr>
      <w:r w:rsidRPr="000E05A8">
        <w:rPr>
          <w:sz w:val="22"/>
          <w:szCs w:val="22"/>
          <w:lang w:val="uk-UA"/>
        </w:rPr>
        <w:t>Структура власного капіталу:</w:t>
      </w:r>
    </w:p>
    <w:p w14:paraId="476E99D0" w14:textId="3A91C1E7" w:rsidR="003F01D8" w:rsidRPr="000E05A8" w:rsidRDefault="003F01D8" w:rsidP="003F01D8">
      <w:pPr>
        <w:ind w:firstLine="709"/>
        <w:jc w:val="right"/>
        <w:rPr>
          <w:sz w:val="22"/>
          <w:szCs w:val="22"/>
          <w:lang w:val="uk-UA"/>
        </w:rPr>
      </w:pPr>
      <w:r w:rsidRPr="000E05A8">
        <w:rPr>
          <w:sz w:val="22"/>
          <w:szCs w:val="22"/>
          <w:lang w:val="uk-UA"/>
        </w:rPr>
        <w:t>(</w:t>
      </w:r>
      <w:r w:rsidRPr="000E05A8">
        <w:rPr>
          <w:bCs/>
          <w:sz w:val="22"/>
          <w:szCs w:val="22"/>
          <w:lang w:val="uk-UA"/>
        </w:rPr>
        <w:t>тис. грн.)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2551"/>
        <w:gridCol w:w="2552"/>
      </w:tblGrid>
      <w:tr w:rsidR="001F1BA5" w:rsidRPr="008D1B3A" w14:paraId="7A647E06" w14:textId="77777777" w:rsidTr="001F1BA5">
        <w:trPr>
          <w:cantSplit/>
          <w:trHeight w:val="309"/>
        </w:trPr>
        <w:tc>
          <w:tcPr>
            <w:tcW w:w="4707" w:type="dxa"/>
          </w:tcPr>
          <w:p w14:paraId="7C965B28" w14:textId="77777777" w:rsidR="001F1BA5" w:rsidRPr="008D1B3A" w:rsidRDefault="001F1BA5" w:rsidP="001F1BA5">
            <w:pPr>
              <w:ind w:firstLine="709"/>
              <w:jc w:val="center"/>
              <w:rPr>
                <w:bCs/>
                <w:sz w:val="20"/>
                <w:szCs w:val="20"/>
                <w:lang w:val="uk-UA"/>
              </w:rPr>
            </w:pPr>
            <w:r w:rsidRPr="008D1B3A">
              <w:rPr>
                <w:bCs/>
                <w:sz w:val="20"/>
                <w:szCs w:val="20"/>
                <w:lang w:val="uk-UA"/>
              </w:rPr>
              <w:t>Найменування статті</w:t>
            </w:r>
          </w:p>
        </w:tc>
        <w:tc>
          <w:tcPr>
            <w:tcW w:w="2551" w:type="dxa"/>
          </w:tcPr>
          <w:p w14:paraId="21A3E4D6" w14:textId="037F35C5" w:rsidR="001F1BA5" w:rsidRPr="008D1B3A" w:rsidRDefault="001F1BA5" w:rsidP="001F1BA5">
            <w:pPr>
              <w:pStyle w:val="12"/>
              <w:keepLines w:val="0"/>
              <w:jc w:val="center"/>
              <w:rPr>
                <w:rFonts w:ascii="Times New Roman" w:hAnsi="Times New Roman" w:cs="Times New Roman"/>
                <w:bCs/>
                <w:color w:val="auto"/>
                <w:sz w:val="20"/>
                <w:szCs w:val="20"/>
                <w:lang w:val="uk-UA"/>
              </w:rPr>
            </w:pPr>
            <w:r w:rsidRPr="008D1B3A">
              <w:rPr>
                <w:rFonts w:ascii="Times New Roman" w:hAnsi="Times New Roman" w:cs="Times New Roman"/>
                <w:bCs/>
                <w:color w:val="auto"/>
                <w:sz w:val="20"/>
                <w:szCs w:val="20"/>
                <w:lang w:val="uk-UA"/>
              </w:rPr>
              <w:t>Станом на 31.</w:t>
            </w:r>
            <w:r>
              <w:rPr>
                <w:rFonts w:ascii="Times New Roman" w:hAnsi="Times New Roman" w:cs="Times New Roman"/>
                <w:bCs/>
                <w:color w:val="auto"/>
                <w:sz w:val="20"/>
                <w:szCs w:val="20"/>
                <w:lang w:val="uk-UA"/>
              </w:rPr>
              <w:t>12</w:t>
            </w:r>
            <w:r w:rsidRPr="008D1B3A">
              <w:rPr>
                <w:rFonts w:ascii="Times New Roman" w:hAnsi="Times New Roman" w:cs="Times New Roman"/>
                <w:bCs/>
                <w:color w:val="auto"/>
                <w:sz w:val="20"/>
                <w:szCs w:val="20"/>
                <w:lang w:val="uk-UA"/>
              </w:rPr>
              <w:t>.202</w:t>
            </w:r>
            <w:r>
              <w:rPr>
                <w:rFonts w:ascii="Times New Roman" w:hAnsi="Times New Roman" w:cs="Times New Roman"/>
                <w:bCs/>
                <w:color w:val="auto"/>
                <w:sz w:val="20"/>
                <w:szCs w:val="20"/>
                <w:lang w:val="uk-UA"/>
              </w:rPr>
              <w:t>0</w:t>
            </w:r>
            <w:r w:rsidRPr="008D1B3A">
              <w:rPr>
                <w:rFonts w:ascii="Times New Roman" w:hAnsi="Times New Roman" w:cs="Times New Roman"/>
                <w:bCs/>
                <w:color w:val="auto"/>
                <w:sz w:val="20"/>
                <w:szCs w:val="20"/>
                <w:lang w:val="uk-UA"/>
              </w:rPr>
              <w:t xml:space="preserve"> р.,  тис. грн.</w:t>
            </w:r>
          </w:p>
        </w:tc>
        <w:tc>
          <w:tcPr>
            <w:tcW w:w="2552" w:type="dxa"/>
          </w:tcPr>
          <w:p w14:paraId="2F3409B0" w14:textId="037B060D" w:rsidR="001F1BA5" w:rsidRPr="008D1B3A" w:rsidRDefault="001F1BA5" w:rsidP="001F1BA5">
            <w:pPr>
              <w:pStyle w:val="12"/>
              <w:keepLines w:val="0"/>
              <w:jc w:val="center"/>
              <w:rPr>
                <w:rFonts w:ascii="Times New Roman" w:hAnsi="Times New Roman" w:cs="Times New Roman"/>
                <w:bCs/>
                <w:color w:val="auto"/>
                <w:sz w:val="20"/>
                <w:szCs w:val="20"/>
                <w:lang w:val="uk-UA"/>
              </w:rPr>
            </w:pPr>
            <w:r w:rsidRPr="008D1B3A">
              <w:rPr>
                <w:rFonts w:ascii="Times New Roman" w:hAnsi="Times New Roman" w:cs="Times New Roman"/>
                <w:bCs/>
                <w:color w:val="auto"/>
                <w:sz w:val="20"/>
                <w:szCs w:val="20"/>
                <w:lang w:val="uk-UA"/>
              </w:rPr>
              <w:t>Станом на 31.03.2021 р.,  тис. грн.</w:t>
            </w:r>
          </w:p>
        </w:tc>
      </w:tr>
      <w:tr w:rsidR="001F1BA5" w:rsidRPr="008D1B3A" w14:paraId="6E390B88" w14:textId="77777777" w:rsidTr="001F1BA5">
        <w:trPr>
          <w:cantSplit/>
          <w:trHeight w:val="377"/>
        </w:trPr>
        <w:tc>
          <w:tcPr>
            <w:tcW w:w="4707" w:type="dxa"/>
          </w:tcPr>
          <w:p w14:paraId="7C43AB41" w14:textId="77777777" w:rsidR="001F1BA5" w:rsidRPr="008D1B3A" w:rsidRDefault="001F1BA5" w:rsidP="001F1BA5">
            <w:pPr>
              <w:jc w:val="both"/>
              <w:rPr>
                <w:sz w:val="20"/>
                <w:szCs w:val="20"/>
                <w:lang w:val="uk-UA"/>
              </w:rPr>
            </w:pPr>
            <w:r w:rsidRPr="008D1B3A">
              <w:rPr>
                <w:sz w:val="20"/>
                <w:szCs w:val="20"/>
                <w:lang w:val="uk-UA"/>
              </w:rPr>
              <w:t>Зареєстрований статутний  капітал</w:t>
            </w:r>
          </w:p>
        </w:tc>
        <w:tc>
          <w:tcPr>
            <w:tcW w:w="2551" w:type="dxa"/>
          </w:tcPr>
          <w:p w14:paraId="28CFD541" w14:textId="70DB702B" w:rsidR="001F1BA5" w:rsidRPr="008D1B3A" w:rsidRDefault="001F1BA5" w:rsidP="001F1BA5">
            <w:pPr>
              <w:ind w:firstLine="709"/>
              <w:jc w:val="center"/>
              <w:rPr>
                <w:sz w:val="20"/>
                <w:szCs w:val="20"/>
                <w:lang w:val="uk-UA"/>
              </w:rPr>
            </w:pPr>
            <w:r w:rsidRPr="008D1B3A">
              <w:rPr>
                <w:sz w:val="20"/>
                <w:szCs w:val="20"/>
                <w:lang w:val="uk-UA"/>
              </w:rPr>
              <w:t>7 500</w:t>
            </w:r>
          </w:p>
        </w:tc>
        <w:tc>
          <w:tcPr>
            <w:tcW w:w="2552" w:type="dxa"/>
          </w:tcPr>
          <w:p w14:paraId="4B0DDF37" w14:textId="225EC59D" w:rsidR="001F1BA5" w:rsidRPr="008D1B3A" w:rsidRDefault="001F1BA5" w:rsidP="001F1BA5">
            <w:pPr>
              <w:ind w:firstLine="709"/>
              <w:jc w:val="center"/>
              <w:rPr>
                <w:sz w:val="20"/>
                <w:szCs w:val="20"/>
                <w:lang w:val="uk-UA"/>
              </w:rPr>
            </w:pPr>
            <w:r w:rsidRPr="008D1B3A">
              <w:rPr>
                <w:sz w:val="20"/>
                <w:szCs w:val="20"/>
                <w:lang w:val="uk-UA"/>
              </w:rPr>
              <w:t>7 500</w:t>
            </w:r>
          </w:p>
        </w:tc>
      </w:tr>
      <w:tr w:rsidR="001F1BA5" w:rsidRPr="008D1B3A" w14:paraId="6C8AA814" w14:textId="77777777" w:rsidTr="001F1BA5">
        <w:trPr>
          <w:cantSplit/>
          <w:trHeight w:val="377"/>
        </w:trPr>
        <w:tc>
          <w:tcPr>
            <w:tcW w:w="4707" w:type="dxa"/>
          </w:tcPr>
          <w:p w14:paraId="1D7C5659" w14:textId="77777777" w:rsidR="001F1BA5" w:rsidRPr="008D1B3A" w:rsidRDefault="001F1BA5" w:rsidP="001F1BA5">
            <w:pPr>
              <w:jc w:val="both"/>
              <w:rPr>
                <w:sz w:val="20"/>
                <w:szCs w:val="20"/>
                <w:lang w:val="uk-UA"/>
              </w:rPr>
            </w:pPr>
            <w:r w:rsidRPr="008D1B3A">
              <w:rPr>
                <w:sz w:val="20"/>
                <w:szCs w:val="20"/>
                <w:lang w:val="uk-UA"/>
              </w:rPr>
              <w:t>Нерозподілений прибуток (непокритий збиток)</w:t>
            </w:r>
          </w:p>
        </w:tc>
        <w:tc>
          <w:tcPr>
            <w:tcW w:w="2551" w:type="dxa"/>
          </w:tcPr>
          <w:p w14:paraId="6468879D" w14:textId="382B1744" w:rsidR="001F1BA5" w:rsidRPr="008D1B3A" w:rsidRDefault="001F1BA5" w:rsidP="001F1BA5">
            <w:pPr>
              <w:ind w:firstLine="709"/>
              <w:jc w:val="center"/>
              <w:rPr>
                <w:sz w:val="20"/>
                <w:szCs w:val="20"/>
                <w:lang w:val="uk-UA"/>
              </w:rPr>
            </w:pPr>
            <w:r w:rsidRPr="008D1B3A">
              <w:rPr>
                <w:sz w:val="20"/>
                <w:szCs w:val="20"/>
                <w:lang w:val="uk-UA"/>
              </w:rPr>
              <w:t>(</w:t>
            </w:r>
            <w:r w:rsidR="007D637D">
              <w:rPr>
                <w:sz w:val="20"/>
                <w:szCs w:val="20"/>
                <w:lang w:val="uk-UA"/>
              </w:rPr>
              <w:t>338</w:t>
            </w:r>
            <w:r w:rsidRPr="008D1B3A">
              <w:rPr>
                <w:sz w:val="20"/>
                <w:szCs w:val="20"/>
                <w:lang w:val="uk-UA"/>
              </w:rPr>
              <w:t>)</w:t>
            </w:r>
          </w:p>
        </w:tc>
        <w:tc>
          <w:tcPr>
            <w:tcW w:w="2552" w:type="dxa"/>
          </w:tcPr>
          <w:p w14:paraId="46094436" w14:textId="06F44786" w:rsidR="001F1BA5" w:rsidRPr="008D1B3A" w:rsidRDefault="001F1BA5" w:rsidP="001F1BA5">
            <w:pPr>
              <w:ind w:firstLine="709"/>
              <w:jc w:val="center"/>
              <w:rPr>
                <w:sz w:val="20"/>
                <w:szCs w:val="20"/>
                <w:lang w:val="uk-UA"/>
              </w:rPr>
            </w:pPr>
            <w:r w:rsidRPr="008D1B3A">
              <w:rPr>
                <w:sz w:val="20"/>
                <w:szCs w:val="20"/>
                <w:lang w:val="uk-UA"/>
              </w:rPr>
              <w:t>(522)</w:t>
            </w:r>
          </w:p>
        </w:tc>
      </w:tr>
      <w:tr w:rsidR="001F1BA5" w:rsidRPr="008D1B3A" w14:paraId="1506B5DB" w14:textId="77777777" w:rsidTr="001F1BA5">
        <w:trPr>
          <w:cantSplit/>
          <w:trHeight w:val="377"/>
        </w:trPr>
        <w:tc>
          <w:tcPr>
            <w:tcW w:w="4707" w:type="dxa"/>
          </w:tcPr>
          <w:p w14:paraId="1E5EE6A7" w14:textId="77777777" w:rsidR="001F1BA5" w:rsidRPr="008D1B3A" w:rsidRDefault="001F1BA5" w:rsidP="001F1BA5">
            <w:pPr>
              <w:ind w:firstLine="709"/>
              <w:jc w:val="both"/>
              <w:rPr>
                <w:b/>
                <w:i/>
                <w:sz w:val="20"/>
                <w:szCs w:val="20"/>
                <w:lang w:val="uk-UA"/>
              </w:rPr>
            </w:pPr>
            <w:r w:rsidRPr="008D1B3A">
              <w:rPr>
                <w:b/>
                <w:i/>
                <w:sz w:val="20"/>
                <w:szCs w:val="20"/>
                <w:lang w:val="uk-UA"/>
              </w:rPr>
              <w:t>Всього власний капітал</w:t>
            </w:r>
          </w:p>
        </w:tc>
        <w:tc>
          <w:tcPr>
            <w:tcW w:w="2551" w:type="dxa"/>
          </w:tcPr>
          <w:p w14:paraId="6927FB87" w14:textId="4835A396" w:rsidR="001F1BA5" w:rsidRPr="008D1B3A" w:rsidRDefault="007D637D" w:rsidP="001F1BA5">
            <w:pPr>
              <w:ind w:firstLine="709"/>
              <w:jc w:val="center"/>
              <w:rPr>
                <w:b/>
                <w:i/>
                <w:sz w:val="20"/>
                <w:szCs w:val="20"/>
                <w:lang w:val="uk-UA"/>
              </w:rPr>
            </w:pPr>
            <w:r>
              <w:rPr>
                <w:b/>
                <w:i/>
                <w:sz w:val="20"/>
                <w:szCs w:val="20"/>
                <w:lang w:val="uk-UA"/>
              </w:rPr>
              <w:t>7 162</w:t>
            </w:r>
          </w:p>
        </w:tc>
        <w:tc>
          <w:tcPr>
            <w:tcW w:w="2552" w:type="dxa"/>
          </w:tcPr>
          <w:p w14:paraId="39C350FC" w14:textId="2D3F1C28" w:rsidR="001F1BA5" w:rsidRPr="008D1B3A" w:rsidRDefault="001F1BA5" w:rsidP="001F1BA5">
            <w:pPr>
              <w:ind w:firstLine="709"/>
              <w:jc w:val="center"/>
              <w:rPr>
                <w:b/>
                <w:i/>
                <w:sz w:val="20"/>
                <w:szCs w:val="20"/>
                <w:lang w:val="uk-UA"/>
              </w:rPr>
            </w:pPr>
            <w:r w:rsidRPr="008D1B3A">
              <w:rPr>
                <w:b/>
                <w:i/>
                <w:sz w:val="20"/>
                <w:szCs w:val="20"/>
                <w:lang w:val="uk-UA"/>
              </w:rPr>
              <w:t>6 978</w:t>
            </w:r>
          </w:p>
        </w:tc>
      </w:tr>
    </w:tbl>
    <w:p w14:paraId="3114D5E7" w14:textId="77777777" w:rsidR="00EA2807" w:rsidRPr="000E05A8" w:rsidRDefault="00EA2807" w:rsidP="00794809">
      <w:pPr>
        <w:shd w:val="clear" w:color="auto" w:fill="FFFFFF"/>
        <w:ind w:firstLine="709"/>
        <w:jc w:val="both"/>
        <w:rPr>
          <w:b/>
          <w:bCs/>
          <w:i/>
          <w:spacing w:val="-2"/>
          <w:sz w:val="22"/>
          <w:szCs w:val="22"/>
          <w:lang w:val="uk-UA"/>
        </w:rPr>
      </w:pPr>
    </w:p>
    <w:p w14:paraId="2D4CB616" w14:textId="15F6671C"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6.</w:t>
      </w:r>
      <w:r w:rsidR="00496C6A" w:rsidRPr="000E05A8">
        <w:rPr>
          <w:b/>
          <w:bCs/>
          <w:i/>
          <w:spacing w:val="-2"/>
          <w:sz w:val="22"/>
          <w:szCs w:val="22"/>
          <w:lang w:val="uk-UA"/>
        </w:rPr>
        <w:t>9</w:t>
      </w:r>
      <w:r w:rsidRPr="000E05A8">
        <w:rPr>
          <w:b/>
          <w:bCs/>
          <w:i/>
          <w:spacing w:val="-2"/>
          <w:sz w:val="22"/>
          <w:szCs w:val="22"/>
          <w:lang w:val="uk-UA"/>
        </w:rPr>
        <w:t>. Поточна кредиторська заборгованість</w:t>
      </w:r>
    </w:p>
    <w:p w14:paraId="28DE6242" w14:textId="19661E7F" w:rsidR="003F01D8" w:rsidRPr="000E05A8" w:rsidRDefault="003F01D8" w:rsidP="003F01D8">
      <w:pPr>
        <w:shd w:val="clear" w:color="auto" w:fill="FFFFFF"/>
        <w:ind w:firstLine="709"/>
        <w:jc w:val="right"/>
        <w:rPr>
          <w:b/>
          <w:bCs/>
          <w:i/>
          <w:spacing w:val="-2"/>
          <w:sz w:val="22"/>
          <w:szCs w:val="22"/>
          <w:lang w:val="uk-UA"/>
        </w:rPr>
      </w:pPr>
      <w:r w:rsidRPr="000E05A8">
        <w:rPr>
          <w:b/>
          <w:bCs/>
          <w:i/>
          <w:spacing w:val="-2"/>
          <w:sz w:val="22"/>
          <w:szCs w:val="22"/>
          <w:lang w:val="uk-UA"/>
        </w:rPr>
        <w:t>(</w:t>
      </w:r>
      <w:r w:rsidRPr="000E05A8">
        <w:rPr>
          <w:bCs/>
          <w:sz w:val="22"/>
          <w:szCs w:val="22"/>
          <w:lang w:val="uk-UA"/>
        </w:rPr>
        <w:t>тис. грн)</w:t>
      </w:r>
    </w:p>
    <w:tbl>
      <w:tblPr>
        <w:tblW w:w="9874" w:type="dxa"/>
        <w:tblInd w:w="40" w:type="dxa"/>
        <w:tblLayout w:type="fixed"/>
        <w:tblCellMar>
          <w:left w:w="40" w:type="dxa"/>
          <w:right w:w="40" w:type="dxa"/>
        </w:tblCellMar>
        <w:tblLook w:val="0000" w:firstRow="0" w:lastRow="0" w:firstColumn="0" w:lastColumn="0" w:noHBand="0" w:noVBand="0"/>
      </w:tblPr>
      <w:tblGrid>
        <w:gridCol w:w="4772"/>
        <w:gridCol w:w="2551"/>
        <w:gridCol w:w="2551"/>
      </w:tblGrid>
      <w:tr w:rsidR="00A17C09" w:rsidRPr="008D1B3A" w14:paraId="45DCE79C" w14:textId="77777777" w:rsidTr="00A17C09">
        <w:trPr>
          <w:trHeight w:hRule="exact" w:val="343"/>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516947D6" w14:textId="368EAB0B" w:rsidR="00A17C09" w:rsidRPr="008D1B3A" w:rsidRDefault="00A17C09" w:rsidP="00794809">
            <w:pPr>
              <w:shd w:val="clear" w:color="auto" w:fill="FFFFFF"/>
              <w:ind w:firstLine="709"/>
              <w:jc w:val="both"/>
              <w:rPr>
                <w:bCs/>
                <w:sz w:val="20"/>
                <w:szCs w:val="20"/>
                <w:lang w:val="uk-UA"/>
              </w:rPr>
            </w:pPr>
            <w:r w:rsidRPr="008D1B3A">
              <w:rPr>
                <w:bCs/>
                <w:sz w:val="20"/>
                <w:szCs w:val="20"/>
                <w:lang w:val="uk-UA"/>
              </w:rPr>
              <w:t>Найменування статті</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FD68C63" w14:textId="4D1B5A81" w:rsidR="00A17C09" w:rsidRPr="008D1B3A" w:rsidRDefault="005A7A5F" w:rsidP="003F01D8">
            <w:pPr>
              <w:pStyle w:val="12"/>
              <w:keepLines w:val="0"/>
              <w:jc w:val="center"/>
              <w:rPr>
                <w:rFonts w:ascii="Times New Roman" w:hAnsi="Times New Roman" w:cs="Times New Roman"/>
                <w:bCs/>
                <w:color w:val="auto"/>
                <w:sz w:val="20"/>
                <w:szCs w:val="20"/>
                <w:lang w:val="uk-UA"/>
              </w:rPr>
            </w:pPr>
            <w:r w:rsidRPr="008D1B3A">
              <w:rPr>
                <w:rFonts w:ascii="Times New Roman" w:hAnsi="Times New Roman" w:cs="Times New Roman"/>
                <w:bCs/>
                <w:color w:val="auto"/>
                <w:sz w:val="20"/>
                <w:szCs w:val="20"/>
                <w:lang w:val="uk-UA"/>
              </w:rPr>
              <w:t xml:space="preserve">Станом на </w:t>
            </w:r>
            <w:r>
              <w:rPr>
                <w:rFonts w:ascii="Times New Roman" w:hAnsi="Times New Roman" w:cs="Times New Roman"/>
                <w:bCs/>
                <w:color w:val="auto"/>
                <w:sz w:val="20"/>
                <w:szCs w:val="20"/>
                <w:lang w:val="uk-UA"/>
              </w:rPr>
              <w:t>31.12.2020</w:t>
            </w:r>
            <w:r w:rsidRPr="008D1B3A">
              <w:rPr>
                <w:rFonts w:ascii="Times New Roman" w:hAnsi="Times New Roman" w:cs="Times New Roman"/>
                <w:bCs/>
                <w:color w:val="auto"/>
                <w:sz w:val="20"/>
                <w:szCs w:val="20"/>
                <w:lang w:val="uk-UA"/>
              </w:rPr>
              <w:t xml:space="preserve"> 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EF5C6EA" w14:textId="509A059F" w:rsidR="00A17C09" w:rsidRPr="008D1B3A" w:rsidRDefault="00A17C09" w:rsidP="003F01D8">
            <w:pPr>
              <w:pStyle w:val="12"/>
              <w:keepLines w:val="0"/>
              <w:jc w:val="center"/>
              <w:rPr>
                <w:rFonts w:ascii="Times New Roman" w:hAnsi="Times New Roman" w:cs="Times New Roman"/>
                <w:bCs/>
                <w:color w:val="auto"/>
                <w:sz w:val="20"/>
                <w:szCs w:val="20"/>
                <w:lang w:val="uk-UA"/>
              </w:rPr>
            </w:pPr>
            <w:r w:rsidRPr="008D1B3A">
              <w:rPr>
                <w:rFonts w:ascii="Times New Roman" w:hAnsi="Times New Roman" w:cs="Times New Roman"/>
                <w:bCs/>
                <w:color w:val="auto"/>
                <w:sz w:val="20"/>
                <w:szCs w:val="20"/>
                <w:lang w:val="uk-UA"/>
              </w:rPr>
              <w:t>Станом на 31.03.2021р.</w:t>
            </w:r>
          </w:p>
        </w:tc>
      </w:tr>
      <w:tr w:rsidR="00A17C09" w:rsidRPr="008D1B3A" w14:paraId="2D7BB7C9" w14:textId="77777777" w:rsidTr="00A17C09">
        <w:trPr>
          <w:trHeight w:hRule="exact" w:val="303"/>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46AE1507" w14:textId="26544769" w:rsidR="00A17C09" w:rsidRPr="008D1B3A" w:rsidRDefault="00A17C09" w:rsidP="00794809">
            <w:pPr>
              <w:shd w:val="clear" w:color="auto" w:fill="FFFFFF"/>
              <w:jc w:val="both"/>
              <w:rPr>
                <w:color w:val="FF0000"/>
                <w:sz w:val="20"/>
                <w:szCs w:val="20"/>
              </w:rPr>
            </w:pPr>
            <w:r w:rsidRPr="008D1B3A">
              <w:rPr>
                <w:spacing w:val="-2"/>
                <w:sz w:val="20"/>
                <w:szCs w:val="20"/>
                <w:lang w:val="uk-UA"/>
              </w:rPr>
              <w:t>Торговельна кредиторська заборгованість (за оренду офісного приміщення)</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F3C6C51" w14:textId="53E8EC36" w:rsidR="00A17C09" w:rsidRPr="008D1B3A" w:rsidRDefault="00EA58C9" w:rsidP="003F01D8">
            <w:pPr>
              <w:shd w:val="clear" w:color="auto" w:fill="FFFFFF"/>
              <w:ind w:firstLine="709"/>
              <w:jc w:val="center"/>
              <w:rPr>
                <w:sz w:val="20"/>
                <w:szCs w:val="20"/>
                <w:lang w:val="uk-UA"/>
              </w:rPr>
            </w:pPr>
            <w:r>
              <w:rPr>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F6980B7" w14:textId="180DA9EB" w:rsidR="00A17C09" w:rsidRPr="008D1B3A" w:rsidRDefault="00A17C09" w:rsidP="003F01D8">
            <w:pPr>
              <w:shd w:val="clear" w:color="auto" w:fill="FFFFFF"/>
              <w:ind w:firstLine="709"/>
              <w:jc w:val="center"/>
              <w:rPr>
                <w:sz w:val="20"/>
                <w:szCs w:val="20"/>
                <w:highlight w:val="yellow"/>
                <w:lang w:val="uk-UA"/>
              </w:rPr>
            </w:pPr>
            <w:r w:rsidRPr="008D1B3A">
              <w:rPr>
                <w:sz w:val="20"/>
                <w:szCs w:val="20"/>
                <w:lang w:val="uk-UA"/>
              </w:rPr>
              <w:t>132</w:t>
            </w:r>
          </w:p>
        </w:tc>
      </w:tr>
      <w:tr w:rsidR="00A17C09" w:rsidRPr="008D1B3A" w14:paraId="2C8BE001" w14:textId="77777777" w:rsidTr="00A17C09">
        <w:trPr>
          <w:trHeight w:hRule="exact" w:val="569"/>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6D3F8E77" w14:textId="7267CEA5" w:rsidR="00A17C09" w:rsidRPr="008D1B3A" w:rsidRDefault="00A17C09" w:rsidP="00ED3F30">
            <w:pPr>
              <w:shd w:val="clear" w:color="auto" w:fill="FFFFFF"/>
              <w:ind w:firstLine="54"/>
              <w:jc w:val="both"/>
              <w:rPr>
                <w:sz w:val="20"/>
                <w:szCs w:val="20"/>
                <w:lang w:val="uk-UA"/>
              </w:rPr>
            </w:pPr>
            <w:r w:rsidRPr="008D1B3A">
              <w:rPr>
                <w:sz w:val="20"/>
                <w:szCs w:val="20"/>
                <w:lang w:val="uk-UA"/>
              </w:rPr>
              <w:lastRenderedPageBreak/>
              <w:t>Розрахунки з бюджетом (податок на доходи фізичних осіб та військовий внесок з оплатити праці за другу частину березня 2021 року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B117E14" w14:textId="29BAB2ED" w:rsidR="00A17C09" w:rsidRPr="00EA58C9" w:rsidRDefault="00EA58C9" w:rsidP="003F01D8">
            <w:pPr>
              <w:shd w:val="clear" w:color="auto" w:fill="FFFFFF"/>
              <w:ind w:firstLine="709"/>
              <w:jc w:val="center"/>
              <w:rPr>
                <w:sz w:val="20"/>
                <w:szCs w:val="20"/>
                <w:lang w:val="uk-UA"/>
              </w:rPr>
            </w:pPr>
            <w:r>
              <w:rPr>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A4963F1" w14:textId="31DE5FE4" w:rsidR="00A17C09" w:rsidRPr="008D1B3A" w:rsidRDefault="00A17C09" w:rsidP="003F01D8">
            <w:pPr>
              <w:shd w:val="clear" w:color="auto" w:fill="FFFFFF"/>
              <w:ind w:firstLine="709"/>
              <w:jc w:val="center"/>
              <w:rPr>
                <w:sz w:val="20"/>
                <w:szCs w:val="20"/>
                <w:lang w:val="en-US"/>
              </w:rPr>
            </w:pPr>
            <w:r w:rsidRPr="008D1B3A">
              <w:rPr>
                <w:sz w:val="20"/>
                <w:szCs w:val="20"/>
                <w:lang w:val="en-US"/>
              </w:rPr>
              <w:t>2</w:t>
            </w:r>
          </w:p>
        </w:tc>
      </w:tr>
      <w:tr w:rsidR="00A17C09" w:rsidRPr="008D1B3A" w14:paraId="3A4A9814" w14:textId="77777777" w:rsidTr="00A17C09">
        <w:trPr>
          <w:trHeight w:hRule="exact" w:val="307"/>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7192725A" w14:textId="59A1DD39" w:rsidR="00A17C09" w:rsidRPr="008D1B3A" w:rsidRDefault="00A17C09" w:rsidP="00ED3F30">
            <w:pPr>
              <w:shd w:val="clear" w:color="auto" w:fill="FFFFFF"/>
              <w:ind w:firstLine="54"/>
              <w:jc w:val="both"/>
              <w:rPr>
                <w:sz w:val="20"/>
                <w:szCs w:val="20"/>
                <w:lang w:val="uk-UA"/>
              </w:rPr>
            </w:pPr>
            <w:r w:rsidRPr="008D1B3A">
              <w:rPr>
                <w:spacing w:val="-1"/>
                <w:sz w:val="20"/>
                <w:szCs w:val="20"/>
                <w:lang w:val="uk-UA"/>
              </w:rPr>
              <w:t>Оплата праці (за другу частину березня 2021 року)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69AE2F12" w14:textId="7A6F09BB" w:rsidR="00A17C09" w:rsidRPr="008D1B3A" w:rsidRDefault="00EA58C9" w:rsidP="003F01D8">
            <w:pPr>
              <w:shd w:val="clear" w:color="auto" w:fill="FFFFFF"/>
              <w:ind w:firstLine="709"/>
              <w:jc w:val="center"/>
              <w:rPr>
                <w:sz w:val="20"/>
                <w:szCs w:val="20"/>
                <w:lang w:val="uk-UA"/>
              </w:rPr>
            </w:pPr>
            <w:r>
              <w:rPr>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A39E673" w14:textId="5F4B5FFC" w:rsidR="00A17C09" w:rsidRPr="008D1B3A" w:rsidRDefault="00A17C09" w:rsidP="003F01D8">
            <w:pPr>
              <w:shd w:val="clear" w:color="auto" w:fill="FFFFFF"/>
              <w:ind w:firstLine="709"/>
              <w:jc w:val="center"/>
              <w:rPr>
                <w:sz w:val="20"/>
                <w:szCs w:val="20"/>
                <w:lang w:val="uk-UA"/>
              </w:rPr>
            </w:pPr>
            <w:r w:rsidRPr="008D1B3A">
              <w:rPr>
                <w:sz w:val="20"/>
                <w:szCs w:val="20"/>
                <w:lang w:val="uk-UA"/>
              </w:rPr>
              <w:t>10</w:t>
            </w:r>
          </w:p>
        </w:tc>
      </w:tr>
      <w:tr w:rsidR="00A17C09" w:rsidRPr="008D1B3A" w14:paraId="50753612" w14:textId="77777777" w:rsidTr="00A17C09">
        <w:trPr>
          <w:trHeight w:hRule="exact" w:val="307"/>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4BB62F41" w14:textId="0D3A275A" w:rsidR="00A17C09" w:rsidRPr="008D1B3A" w:rsidRDefault="00A17C09" w:rsidP="00ED3F30">
            <w:pPr>
              <w:shd w:val="clear" w:color="auto" w:fill="FFFFFF"/>
              <w:ind w:firstLine="54"/>
              <w:jc w:val="both"/>
              <w:rPr>
                <w:spacing w:val="-1"/>
                <w:sz w:val="20"/>
                <w:szCs w:val="20"/>
                <w:lang w:val="uk-UA"/>
              </w:rPr>
            </w:pPr>
            <w:r w:rsidRPr="008D1B3A">
              <w:rPr>
                <w:spacing w:val="-1"/>
                <w:sz w:val="20"/>
                <w:szCs w:val="20"/>
                <w:lang w:val="uk-UA"/>
              </w:rPr>
              <w:t>Соціальні внески (за другу частину березня 2021 року)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F8978D9" w14:textId="10D550C2" w:rsidR="00A17C09" w:rsidRPr="008D1B3A" w:rsidRDefault="00EA58C9" w:rsidP="003F01D8">
            <w:pPr>
              <w:shd w:val="clear" w:color="auto" w:fill="FFFFFF"/>
              <w:ind w:firstLine="709"/>
              <w:jc w:val="center"/>
              <w:rPr>
                <w:sz w:val="20"/>
                <w:szCs w:val="20"/>
                <w:lang w:val="uk-UA"/>
              </w:rPr>
            </w:pPr>
            <w:r>
              <w:rPr>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273FAA4E" w14:textId="4BE79D47" w:rsidR="00A17C09" w:rsidRPr="008D1B3A" w:rsidRDefault="00A17C09" w:rsidP="003F01D8">
            <w:pPr>
              <w:shd w:val="clear" w:color="auto" w:fill="FFFFFF"/>
              <w:ind w:firstLine="709"/>
              <w:jc w:val="center"/>
              <w:rPr>
                <w:sz w:val="20"/>
                <w:szCs w:val="20"/>
                <w:lang w:val="uk-UA"/>
              </w:rPr>
            </w:pPr>
            <w:r w:rsidRPr="008D1B3A">
              <w:rPr>
                <w:sz w:val="20"/>
                <w:szCs w:val="20"/>
                <w:lang w:val="uk-UA"/>
              </w:rPr>
              <w:t>3</w:t>
            </w:r>
          </w:p>
        </w:tc>
      </w:tr>
      <w:tr w:rsidR="00A17C09" w:rsidRPr="008D1B3A" w14:paraId="3335104E" w14:textId="77777777" w:rsidTr="00A17C09">
        <w:trPr>
          <w:trHeight w:hRule="exact" w:val="307"/>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7EAD0EFD" w14:textId="04ADBAF8" w:rsidR="00A17C09" w:rsidRPr="008D1B3A" w:rsidRDefault="00A17C09" w:rsidP="00ED3F30">
            <w:pPr>
              <w:shd w:val="clear" w:color="auto" w:fill="FFFFFF"/>
              <w:ind w:firstLine="54"/>
              <w:jc w:val="both"/>
              <w:rPr>
                <w:spacing w:val="-1"/>
                <w:sz w:val="20"/>
                <w:szCs w:val="20"/>
                <w:lang w:val="uk-UA"/>
              </w:rPr>
            </w:pPr>
            <w:r w:rsidRPr="008D1B3A">
              <w:rPr>
                <w:spacing w:val="-1"/>
                <w:sz w:val="20"/>
                <w:szCs w:val="20"/>
                <w:lang w:val="uk-UA"/>
              </w:rPr>
              <w:t xml:space="preserve">Інші поточні зобов'язання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66B9B10" w14:textId="6287E5D6" w:rsidR="00A17C09" w:rsidRPr="008D1B3A" w:rsidRDefault="00EA58C9" w:rsidP="003F01D8">
            <w:pPr>
              <w:shd w:val="clear" w:color="auto" w:fill="FFFFFF"/>
              <w:ind w:firstLine="709"/>
              <w:jc w:val="center"/>
              <w:rPr>
                <w:sz w:val="20"/>
                <w:szCs w:val="20"/>
                <w:lang w:val="uk-UA"/>
              </w:rPr>
            </w:pPr>
            <w:r>
              <w:rPr>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024EA15" w14:textId="45B7C775" w:rsidR="00A17C09" w:rsidRPr="008D1B3A" w:rsidRDefault="00A17C09" w:rsidP="003F01D8">
            <w:pPr>
              <w:shd w:val="clear" w:color="auto" w:fill="FFFFFF"/>
              <w:ind w:firstLine="709"/>
              <w:jc w:val="center"/>
              <w:rPr>
                <w:sz w:val="20"/>
                <w:szCs w:val="20"/>
                <w:lang w:val="uk-UA"/>
              </w:rPr>
            </w:pPr>
            <w:r w:rsidRPr="008D1B3A">
              <w:rPr>
                <w:sz w:val="20"/>
                <w:szCs w:val="20"/>
                <w:lang w:val="uk-UA"/>
              </w:rPr>
              <w:t>50</w:t>
            </w:r>
          </w:p>
        </w:tc>
      </w:tr>
      <w:tr w:rsidR="00A17C09" w:rsidRPr="008D1B3A" w14:paraId="6D14BDEC" w14:textId="77777777" w:rsidTr="00A17C09">
        <w:trPr>
          <w:trHeight w:hRule="exact" w:val="333"/>
        </w:trPr>
        <w:tc>
          <w:tcPr>
            <w:tcW w:w="4772" w:type="dxa"/>
            <w:tcBorders>
              <w:top w:val="single" w:sz="6" w:space="0" w:color="auto"/>
              <w:left w:val="single" w:sz="6" w:space="0" w:color="auto"/>
              <w:bottom w:val="single" w:sz="6" w:space="0" w:color="auto"/>
              <w:right w:val="single" w:sz="6" w:space="0" w:color="auto"/>
            </w:tcBorders>
            <w:shd w:val="clear" w:color="auto" w:fill="FFFFFF"/>
          </w:tcPr>
          <w:p w14:paraId="60A7CAE3" w14:textId="41783BD9" w:rsidR="00A17C09" w:rsidRPr="008D1B3A" w:rsidRDefault="00A17C09" w:rsidP="00ED3F30">
            <w:pPr>
              <w:shd w:val="clear" w:color="auto" w:fill="FFFFFF"/>
              <w:ind w:firstLine="54"/>
              <w:jc w:val="both"/>
              <w:rPr>
                <w:b/>
                <w:i/>
                <w:sz w:val="20"/>
                <w:szCs w:val="20"/>
                <w:lang w:val="uk-UA"/>
              </w:rPr>
            </w:pPr>
            <w:r w:rsidRPr="008D1B3A">
              <w:rPr>
                <w:b/>
                <w:bCs/>
                <w:i/>
                <w:spacing w:val="-3"/>
                <w:sz w:val="20"/>
                <w:szCs w:val="20"/>
                <w:lang w:val="uk-UA"/>
              </w:rPr>
              <w:t>Всього кредиторська заборгованість</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26ADF582" w14:textId="128927E6" w:rsidR="00A17C09" w:rsidRPr="008D1B3A" w:rsidRDefault="00EA58C9" w:rsidP="003F01D8">
            <w:pPr>
              <w:shd w:val="clear" w:color="auto" w:fill="FFFFFF"/>
              <w:ind w:firstLine="709"/>
              <w:jc w:val="center"/>
              <w:rPr>
                <w:b/>
                <w:i/>
                <w:sz w:val="20"/>
                <w:szCs w:val="20"/>
                <w:lang w:val="uk-UA"/>
              </w:rPr>
            </w:pPr>
            <w:r>
              <w:rPr>
                <w:b/>
                <w:i/>
                <w:sz w:val="20"/>
                <w:szCs w:val="20"/>
                <w:lang w:val="uk-UA"/>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201F5536" w14:textId="607FECD8" w:rsidR="00A17C09" w:rsidRPr="008D1B3A" w:rsidRDefault="00A17C09" w:rsidP="003F01D8">
            <w:pPr>
              <w:shd w:val="clear" w:color="auto" w:fill="FFFFFF"/>
              <w:ind w:firstLine="709"/>
              <w:jc w:val="center"/>
              <w:rPr>
                <w:b/>
                <w:i/>
                <w:sz w:val="20"/>
                <w:szCs w:val="20"/>
                <w:lang w:val="uk-UA"/>
              </w:rPr>
            </w:pPr>
            <w:r w:rsidRPr="008D1B3A">
              <w:rPr>
                <w:b/>
                <w:i/>
                <w:sz w:val="20"/>
                <w:szCs w:val="20"/>
                <w:lang w:val="uk-UA"/>
              </w:rPr>
              <w:t>197</w:t>
            </w:r>
          </w:p>
        </w:tc>
      </w:tr>
    </w:tbl>
    <w:p w14:paraId="4FC7079C" w14:textId="53920238" w:rsidR="00752554" w:rsidRPr="000E05A8" w:rsidRDefault="00752554" w:rsidP="00794809">
      <w:pPr>
        <w:shd w:val="clear" w:color="auto" w:fill="FFFFFF"/>
        <w:ind w:firstLine="709"/>
        <w:jc w:val="both"/>
        <w:outlineLvl w:val="0"/>
        <w:rPr>
          <w:sz w:val="22"/>
          <w:szCs w:val="22"/>
          <w:lang w:val="uk-UA"/>
        </w:rPr>
      </w:pPr>
      <w:r w:rsidRPr="000E05A8">
        <w:rPr>
          <w:sz w:val="22"/>
          <w:szCs w:val="22"/>
          <w:lang w:val="uk-UA"/>
        </w:rPr>
        <w:t>Сума кредиторської заборгованості є короткостроковою, тому вплив змін  на справедливу вартість є несуттєвий. В фінансовій звітності показники заборгованості відображені по вартості виникнення заборгованості.</w:t>
      </w:r>
    </w:p>
    <w:p w14:paraId="236BFB68" w14:textId="1895E774" w:rsidR="004A0A16" w:rsidRPr="000E05A8" w:rsidRDefault="004A0A16" w:rsidP="00794809">
      <w:pPr>
        <w:shd w:val="clear" w:color="auto" w:fill="FFFFFF"/>
        <w:ind w:firstLine="709"/>
        <w:jc w:val="both"/>
        <w:outlineLvl w:val="0"/>
        <w:rPr>
          <w:sz w:val="22"/>
          <w:szCs w:val="22"/>
          <w:lang w:val="uk-UA"/>
        </w:rPr>
      </w:pPr>
      <w:r w:rsidRPr="000E05A8">
        <w:rPr>
          <w:sz w:val="22"/>
          <w:szCs w:val="22"/>
          <w:lang w:val="uk-UA"/>
        </w:rPr>
        <w:t xml:space="preserve">Інше поточне </w:t>
      </w:r>
      <w:r w:rsidR="00CC2A4C" w:rsidRPr="000E05A8">
        <w:rPr>
          <w:sz w:val="22"/>
          <w:szCs w:val="22"/>
          <w:lang w:val="uk-UA"/>
        </w:rPr>
        <w:t>зобов’язання</w:t>
      </w:r>
      <w:r w:rsidRPr="000E05A8">
        <w:rPr>
          <w:sz w:val="22"/>
          <w:szCs w:val="22"/>
          <w:lang w:val="uk-UA"/>
        </w:rPr>
        <w:t xml:space="preserve"> складається з </w:t>
      </w:r>
      <w:r w:rsidR="00B83AB4" w:rsidRPr="000E05A8">
        <w:rPr>
          <w:sz w:val="22"/>
          <w:szCs w:val="22"/>
          <w:lang w:val="uk-UA"/>
        </w:rPr>
        <w:t>без</w:t>
      </w:r>
      <w:r w:rsidR="003B3C8F" w:rsidRPr="000E05A8">
        <w:rPr>
          <w:sz w:val="22"/>
          <w:szCs w:val="22"/>
          <w:lang w:val="uk-UA"/>
        </w:rPr>
        <w:t>відсоткової позики по Договору № 15-03/21 від 15.03.2021 року</w:t>
      </w:r>
      <w:r w:rsidR="002077F2" w:rsidRPr="000E05A8">
        <w:rPr>
          <w:sz w:val="22"/>
          <w:szCs w:val="22"/>
          <w:lang w:val="uk-UA"/>
        </w:rPr>
        <w:t xml:space="preserve">  від </w:t>
      </w:r>
      <w:r w:rsidR="00777FBB" w:rsidRPr="000E05A8">
        <w:rPr>
          <w:sz w:val="22"/>
          <w:szCs w:val="22"/>
          <w:lang w:val="uk-UA"/>
        </w:rPr>
        <w:t>ТОВ "ЮФ" ЕВРІС"</w:t>
      </w:r>
      <w:r w:rsidR="00B83AB4" w:rsidRPr="000E05A8">
        <w:rPr>
          <w:sz w:val="22"/>
          <w:szCs w:val="22"/>
          <w:lang w:val="uk-UA"/>
        </w:rPr>
        <w:t xml:space="preserve">. Вона надана на термін до 1 року та є поточною, </w:t>
      </w:r>
      <w:r w:rsidR="00FB402A" w:rsidRPr="000E05A8">
        <w:rPr>
          <w:sz w:val="22"/>
          <w:szCs w:val="22"/>
          <w:lang w:val="uk-UA"/>
        </w:rPr>
        <w:t>сума ії не є суттєвою, тому не дисконтується.</w:t>
      </w:r>
    </w:p>
    <w:p w14:paraId="1437CDA9" w14:textId="3BD9984C" w:rsidR="00496C6A" w:rsidRPr="000E05A8" w:rsidRDefault="00496C6A" w:rsidP="00794809">
      <w:pPr>
        <w:shd w:val="clear" w:color="auto" w:fill="FFFFFF"/>
        <w:ind w:firstLine="709"/>
        <w:jc w:val="both"/>
        <w:outlineLvl w:val="0"/>
        <w:rPr>
          <w:sz w:val="22"/>
          <w:szCs w:val="22"/>
          <w:lang w:val="uk-UA"/>
        </w:rPr>
      </w:pPr>
    </w:p>
    <w:p w14:paraId="170D6E53" w14:textId="1B404740" w:rsidR="00496C6A" w:rsidRPr="000E05A8" w:rsidRDefault="00496C6A" w:rsidP="00496C6A">
      <w:pPr>
        <w:shd w:val="clear" w:color="auto" w:fill="FFFFFF"/>
        <w:ind w:firstLine="709"/>
        <w:jc w:val="both"/>
        <w:outlineLvl w:val="0"/>
        <w:rPr>
          <w:b/>
          <w:bCs/>
          <w:spacing w:val="-2"/>
          <w:sz w:val="22"/>
          <w:szCs w:val="22"/>
          <w:lang w:val="uk-UA"/>
        </w:rPr>
      </w:pPr>
      <w:r w:rsidRPr="000E05A8">
        <w:rPr>
          <w:b/>
          <w:bCs/>
          <w:i/>
          <w:spacing w:val="-2"/>
          <w:sz w:val="22"/>
          <w:szCs w:val="22"/>
          <w:lang w:val="uk-UA"/>
        </w:rPr>
        <w:t>6.10. Короткострокові забезпечення</w:t>
      </w:r>
      <w:r w:rsidRPr="000E05A8">
        <w:rPr>
          <w:b/>
          <w:bCs/>
          <w:spacing w:val="-2"/>
          <w:sz w:val="22"/>
          <w:szCs w:val="22"/>
          <w:lang w:val="uk-UA"/>
        </w:rPr>
        <w:t>.</w:t>
      </w:r>
    </w:p>
    <w:p w14:paraId="028DFDD7" w14:textId="1C4FE5E4" w:rsidR="00076B85" w:rsidRDefault="00076B85" w:rsidP="00496C6A">
      <w:pPr>
        <w:shd w:val="clear" w:color="auto" w:fill="FFFFFF"/>
        <w:ind w:firstLine="709"/>
        <w:jc w:val="both"/>
        <w:rPr>
          <w:bCs/>
          <w:spacing w:val="-2"/>
          <w:sz w:val="22"/>
          <w:szCs w:val="22"/>
          <w:lang w:val="uk-UA"/>
        </w:rPr>
      </w:pPr>
      <w:r w:rsidRPr="000E05A8">
        <w:rPr>
          <w:bCs/>
          <w:spacing w:val="-2"/>
          <w:sz w:val="22"/>
          <w:szCs w:val="22"/>
          <w:lang w:val="uk-UA"/>
        </w:rPr>
        <w:t xml:space="preserve">Короткострокові забезпечення на виплату відпусток на </w:t>
      </w:r>
      <w:r>
        <w:rPr>
          <w:bCs/>
          <w:spacing w:val="-2"/>
          <w:sz w:val="22"/>
          <w:szCs w:val="22"/>
          <w:lang w:val="uk-UA"/>
        </w:rPr>
        <w:t>31.12.2020</w:t>
      </w:r>
      <w:r w:rsidRPr="000E05A8">
        <w:rPr>
          <w:bCs/>
          <w:spacing w:val="-2"/>
          <w:sz w:val="22"/>
          <w:szCs w:val="22"/>
          <w:lang w:val="uk-UA"/>
        </w:rPr>
        <w:t xml:space="preserve"> станови</w:t>
      </w:r>
      <w:r>
        <w:rPr>
          <w:bCs/>
          <w:spacing w:val="-2"/>
          <w:sz w:val="22"/>
          <w:szCs w:val="22"/>
          <w:lang w:val="uk-UA"/>
        </w:rPr>
        <w:t>ли</w:t>
      </w:r>
      <w:r w:rsidRPr="000E05A8">
        <w:rPr>
          <w:bCs/>
          <w:spacing w:val="-2"/>
          <w:sz w:val="22"/>
          <w:szCs w:val="22"/>
          <w:lang w:val="uk-UA"/>
        </w:rPr>
        <w:t xml:space="preserve"> </w:t>
      </w:r>
      <w:r>
        <w:rPr>
          <w:bCs/>
          <w:spacing w:val="-2"/>
          <w:sz w:val="22"/>
          <w:szCs w:val="22"/>
          <w:lang w:val="uk-UA"/>
        </w:rPr>
        <w:t>7</w:t>
      </w:r>
      <w:r w:rsidRPr="000E05A8">
        <w:rPr>
          <w:bCs/>
          <w:spacing w:val="-2"/>
          <w:sz w:val="22"/>
          <w:szCs w:val="22"/>
          <w:lang w:val="uk-UA"/>
        </w:rPr>
        <w:t xml:space="preserve"> тис. грн.</w:t>
      </w:r>
    </w:p>
    <w:p w14:paraId="794E150E" w14:textId="0E7D9371" w:rsidR="00496C6A" w:rsidRPr="000E05A8" w:rsidRDefault="00496C6A" w:rsidP="00496C6A">
      <w:pPr>
        <w:shd w:val="clear" w:color="auto" w:fill="FFFFFF"/>
        <w:ind w:firstLine="709"/>
        <w:jc w:val="both"/>
        <w:rPr>
          <w:bCs/>
          <w:spacing w:val="-2"/>
          <w:sz w:val="22"/>
          <w:szCs w:val="22"/>
          <w:lang w:val="uk-UA"/>
        </w:rPr>
      </w:pPr>
      <w:r w:rsidRPr="000E05A8">
        <w:rPr>
          <w:bCs/>
          <w:spacing w:val="-2"/>
          <w:sz w:val="22"/>
          <w:szCs w:val="22"/>
          <w:lang w:val="uk-UA"/>
        </w:rPr>
        <w:t xml:space="preserve">Короткострокові забезпечення на виплату відпусток на </w:t>
      </w:r>
      <w:r w:rsidR="00980979" w:rsidRPr="000E05A8">
        <w:rPr>
          <w:bCs/>
          <w:spacing w:val="-2"/>
          <w:sz w:val="22"/>
          <w:szCs w:val="22"/>
          <w:lang w:val="uk-UA"/>
        </w:rPr>
        <w:t>31.03.2021</w:t>
      </w:r>
      <w:r w:rsidRPr="000E05A8">
        <w:rPr>
          <w:bCs/>
          <w:spacing w:val="-2"/>
          <w:sz w:val="22"/>
          <w:szCs w:val="22"/>
          <w:lang w:val="uk-UA"/>
        </w:rPr>
        <w:t xml:space="preserve"> становить </w:t>
      </w:r>
      <w:r w:rsidR="00153D95" w:rsidRPr="000E05A8">
        <w:rPr>
          <w:bCs/>
          <w:spacing w:val="-2"/>
          <w:sz w:val="22"/>
          <w:szCs w:val="22"/>
          <w:lang w:val="uk-UA"/>
        </w:rPr>
        <w:t>13</w:t>
      </w:r>
      <w:r w:rsidRPr="000E05A8">
        <w:rPr>
          <w:bCs/>
          <w:spacing w:val="-2"/>
          <w:sz w:val="22"/>
          <w:szCs w:val="22"/>
          <w:lang w:val="uk-UA"/>
        </w:rPr>
        <w:t xml:space="preserve"> тис. грн.</w:t>
      </w:r>
      <w:r w:rsidR="00CC2A4C" w:rsidRPr="000E05A8">
        <w:rPr>
          <w:bCs/>
          <w:spacing w:val="-2"/>
          <w:sz w:val="22"/>
          <w:szCs w:val="22"/>
          <w:lang w:val="uk-UA"/>
        </w:rPr>
        <w:t xml:space="preserve"> та буде використано на протязі 2021 року</w:t>
      </w:r>
      <w:r w:rsidR="000170EF" w:rsidRPr="000E05A8">
        <w:rPr>
          <w:bCs/>
          <w:spacing w:val="-2"/>
          <w:sz w:val="22"/>
          <w:szCs w:val="22"/>
          <w:lang w:val="uk-UA"/>
        </w:rPr>
        <w:t>.</w:t>
      </w:r>
    </w:p>
    <w:p w14:paraId="25B47586" w14:textId="56F5E799" w:rsidR="00496C6A" w:rsidRPr="000E05A8" w:rsidRDefault="00496C6A" w:rsidP="00794809">
      <w:pPr>
        <w:shd w:val="clear" w:color="auto" w:fill="FFFFFF"/>
        <w:ind w:firstLine="709"/>
        <w:jc w:val="both"/>
        <w:outlineLvl w:val="0"/>
        <w:rPr>
          <w:sz w:val="22"/>
          <w:szCs w:val="22"/>
          <w:lang w:val="uk-UA"/>
        </w:rPr>
      </w:pPr>
    </w:p>
    <w:p w14:paraId="763D3D1F" w14:textId="7115B8F0" w:rsidR="00E106F6" w:rsidRPr="000E05A8" w:rsidRDefault="00E106F6" w:rsidP="00E106F6">
      <w:pPr>
        <w:shd w:val="clear" w:color="auto" w:fill="FFFFFF"/>
        <w:ind w:firstLine="709"/>
        <w:jc w:val="both"/>
        <w:outlineLvl w:val="0"/>
        <w:rPr>
          <w:b/>
          <w:bCs/>
          <w:spacing w:val="-2"/>
          <w:sz w:val="22"/>
          <w:szCs w:val="22"/>
          <w:lang w:val="uk-UA"/>
        </w:rPr>
      </w:pPr>
      <w:r w:rsidRPr="000E05A8">
        <w:rPr>
          <w:b/>
          <w:bCs/>
          <w:i/>
          <w:spacing w:val="-2"/>
          <w:sz w:val="22"/>
          <w:szCs w:val="22"/>
          <w:lang w:val="uk-UA"/>
        </w:rPr>
        <w:t xml:space="preserve">6.11. </w:t>
      </w:r>
      <w:r w:rsidR="003F73FF" w:rsidRPr="000E05A8">
        <w:rPr>
          <w:b/>
          <w:bCs/>
          <w:i/>
          <w:spacing w:val="-2"/>
          <w:sz w:val="22"/>
          <w:szCs w:val="22"/>
          <w:lang w:val="uk-UA"/>
        </w:rPr>
        <w:t xml:space="preserve">Звіт про рух грошових коштів за період з </w:t>
      </w:r>
      <w:r w:rsidR="00972A2C" w:rsidRPr="000E05A8">
        <w:rPr>
          <w:b/>
          <w:bCs/>
          <w:i/>
          <w:spacing w:val="-2"/>
          <w:sz w:val="22"/>
          <w:szCs w:val="22"/>
          <w:lang w:val="uk-UA"/>
        </w:rPr>
        <w:t xml:space="preserve">01.01.2021 року по </w:t>
      </w:r>
      <w:r w:rsidR="00980979" w:rsidRPr="000E05A8">
        <w:rPr>
          <w:b/>
          <w:bCs/>
          <w:i/>
          <w:spacing w:val="-2"/>
          <w:sz w:val="22"/>
          <w:szCs w:val="22"/>
          <w:lang w:val="uk-UA"/>
        </w:rPr>
        <w:t>31.03.2021</w:t>
      </w:r>
      <w:r w:rsidR="00972A2C" w:rsidRPr="000E05A8">
        <w:rPr>
          <w:b/>
          <w:bCs/>
          <w:i/>
          <w:spacing w:val="-2"/>
          <w:sz w:val="22"/>
          <w:szCs w:val="22"/>
          <w:lang w:val="uk-UA"/>
        </w:rPr>
        <w:t xml:space="preserve"> року</w:t>
      </w:r>
      <w:r w:rsidRPr="000E05A8">
        <w:rPr>
          <w:b/>
          <w:bCs/>
          <w:spacing w:val="-2"/>
          <w:sz w:val="22"/>
          <w:szCs w:val="22"/>
          <w:lang w:val="uk-UA"/>
        </w:rPr>
        <w:t>.</w:t>
      </w:r>
    </w:p>
    <w:p w14:paraId="265ECCF8" w14:textId="155A3CA7" w:rsidR="00E106F6" w:rsidRDefault="007B41F8" w:rsidP="00E106F6">
      <w:pPr>
        <w:shd w:val="clear" w:color="auto" w:fill="FFFFFF"/>
        <w:ind w:firstLine="709"/>
        <w:jc w:val="both"/>
        <w:rPr>
          <w:bCs/>
          <w:spacing w:val="-2"/>
          <w:sz w:val="22"/>
          <w:szCs w:val="22"/>
          <w:lang w:val="uk-UA"/>
        </w:rPr>
      </w:pPr>
      <w:r w:rsidRPr="000E05A8">
        <w:rPr>
          <w:bCs/>
          <w:spacing w:val="-2"/>
          <w:sz w:val="22"/>
          <w:szCs w:val="22"/>
          <w:lang w:val="uk-UA"/>
        </w:rPr>
        <w:t>Звіт про рух грошових коштів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w:t>
      </w:r>
      <w:r w:rsidR="00011764" w:rsidRPr="000E05A8">
        <w:rPr>
          <w:bCs/>
          <w:spacing w:val="-2"/>
          <w:sz w:val="22"/>
          <w:szCs w:val="22"/>
          <w:lang w:val="uk-UA"/>
        </w:rPr>
        <w:t xml:space="preserve">, інвестиційної </w:t>
      </w:r>
      <w:r w:rsidRPr="000E05A8">
        <w:rPr>
          <w:bCs/>
          <w:spacing w:val="-2"/>
          <w:sz w:val="22"/>
          <w:szCs w:val="22"/>
          <w:lang w:val="uk-UA"/>
        </w:rPr>
        <w:t>та фінансової діяльності Компанії.</w:t>
      </w:r>
      <w:r w:rsidR="00493050" w:rsidRPr="000E05A8">
        <w:rPr>
          <w:bCs/>
          <w:spacing w:val="-2"/>
          <w:sz w:val="22"/>
          <w:szCs w:val="22"/>
          <w:lang w:val="uk-UA"/>
        </w:rPr>
        <w:t xml:space="preserve"> Детальний опис напрямків руху </w:t>
      </w:r>
      <w:r w:rsidR="00E74DEF" w:rsidRPr="000E05A8">
        <w:rPr>
          <w:bCs/>
          <w:spacing w:val="-2"/>
          <w:sz w:val="22"/>
          <w:szCs w:val="22"/>
          <w:lang w:val="uk-UA"/>
        </w:rPr>
        <w:t xml:space="preserve">грошових коштів наведено в звіті про рух грошових коштів за період з </w:t>
      </w:r>
      <w:r w:rsidR="00972A2C" w:rsidRPr="000E05A8">
        <w:rPr>
          <w:bCs/>
          <w:spacing w:val="-2"/>
          <w:sz w:val="22"/>
          <w:szCs w:val="22"/>
          <w:lang w:val="uk-UA"/>
        </w:rPr>
        <w:t xml:space="preserve">01.01.2021 року по </w:t>
      </w:r>
      <w:r w:rsidR="00980979" w:rsidRPr="000E05A8">
        <w:rPr>
          <w:bCs/>
          <w:spacing w:val="-2"/>
          <w:sz w:val="22"/>
          <w:szCs w:val="22"/>
          <w:lang w:val="uk-UA"/>
        </w:rPr>
        <w:t>31.03.2021</w:t>
      </w:r>
      <w:r w:rsidR="00972A2C" w:rsidRPr="000E05A8">
        <w:rPr>
          <w:bCs/>
          <w:spacing w:val="-2"/>
          <w:sz w:val="22"/>
          <w:szCs w:val="22"/>
          <w:lang w:val="uk-UA"/>
        </w:rPr>
        <w:t xml:space="preserve"> року</w:t>
      </w:r>
      <w:r w:rsidR="005A5C49" w:rsidRPr="000E05A8">
        <w:rPr>
          <w:bCs/>
          <w:spacing w:val="-2"/>
          <w:sz w:val="22"/>
          <w:szCs w:val="22"/>
          <w:lang w:val="uk-UA"/>
        </w:rPr>
        <w:t xml:space="preserve"> на сторінці 14 даних Приміток.</w:t>
      </w:r>
    </w:p>
    <w:p w14:paraId="330EFE42" w14:textId="77777777" w:rsidR="004E6CDC" w:rsidRPr="000E05A8" w:rsidRDefault="004E6CDC" w:rsidP="00E106F6">
      <w:pPr>
        <w:shd w:val="clear" w:color="auto" w:fill="FFFFFF"/>
        <w:ind w:firstLine="709"/>
        <w:jc w:val="both"/>
        <w:rPr>
          <w:bCs/>
          <w:spacing w:val="-2"/>
          <w:sz w:val="22"/>
          <w:szCs w:val="22"/>
          <w:lang w:val="uk-UA"/>
        </w:rPr>
      </w:pPr>
    </w:p>
    <w:p w14:paraId="1A5FB65A" w14:textId="7E494A84" w:rsidR="00E74603" w:rsidRPr="000E05A8" w:rsidRDefault="00E74603"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7. Розкриття іншої інформації</w:t>
      </w:r>
    </w:p>
    <w:p w14:paraId="1AA6A2C6" w14:textId="77777777" w:rsidR="00221BF5" w:rsidRPr="000E05A8" w:rsidRDefault="00221BF5" w:rsidP="00794809">
      <w:pPr>
        <w:shd w:val="clear" w:color="auto" w:fill="FFFFFF"/>
        <w:ind w:firstLine="709"/>
        <w:jc w:val="both"/>
        <w:outlineLvl w:val="0"/>
        <w:rPr>
          <w:b/>
          <w:bCs/>
          <w:spacing w:val="-2"/>
          <w:sz w:val="22"/>
          <w:szCs w:val="22"/>
          <w:lang w:val="uk-UA"/>
        </w:rPr>
      </w:pPr>
    </w:p>
    <w:p w14:paraId="67431AF4" w14:textId="3E63EDCD" w:rsidR="00752554" w:rsidRPr="000E05A8" w:rsidRDefault="00752554" w:rsidP="00794809">
      <w:pPr>
        <w:shd w:val="clear" w:color="auto" w:fill="FFFFFF"/>
        <w:ind w:firstLine="709"/>
        <w:jc w:val="both"/>
        <w:outlineLvl w:val="0"/>
        <w:rPr>
          <w:b/>
          <w:bCs/>
          <w:spacing w:val="-2"/>
          <w:sz w:val="22"/>
          <w:szCs w:val="22"/>
          <w:lang w:val="uk-UA"/>
        </w:rPr>
      </w:pPr>
      <w:r w:rsidRPr="000E05A8">
        <w:rPr>
          <w:b/>
          <w:bCs/>
          <w:spacing w:val="-2"/>
          <w:sz w:val="22"/>
          <w:szCs w:val="22"/>
          <w:lang w:val="uk-UA"/>
        </w:rPr>
        <w:t>7.1 Умовні зобов'язання.</w:t>
      </w:r>
    </w:p>
    <w:p w14:paraId="146DFB5A" w14:textId="77777777" w:rsidR="00752554" w:rsidRPr="000E05A8" w:rsidRDefault="00752554" w:rsidP="00794809">
      <w:pPr>
        <w:shd w:val="clear" w:color="auto" w:fill="FFFFFF"/>
        <w:ind w:firstLine="709"/>
        <w:jc w:val="both"/>
        <w:outlineLvl w:val="0"/>
        <w:rPr>
          <w:b/>
          <w:bCs/>
          <w:i/>
          <w:spacing w:val="2"/>
          <w:sz w:val="22"/>
          <w:szCs w:val="22"/>
          <w:lang w:val="uk-UA"/>
        </w:rPr>
      </w:pPr>
    </w:p>
    <w:p w14:paraId="5A507712"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7.1.1. Судові позови</w:t>
      </w:r>
    </w:p>
    <w:p w14:paraId="5BF4E366" w14:textId="5242DDB0" w:rsidR="00752554" w:rsidRPr="000E05A8" w:rsidRDefault="00752554" w:rsidP="00794809">
      <w:pPr>
        <w:ind w:firstLine="709"/>
        <w:jc w:val="both"/>
        <w:rPr>
          <w:sz w:val="22"/>
          <w:szCs w:val="22"/>
          <w:lang w:val="uk-UA"/>
        </w:rPr>
      </w:pPr>
      <w:r w:rsidRPr="000E05A8">
        <w:rPr>
          <w:sz w:val="22"/>
          <w:szCs w:val="22"/>
          <w:lang w:val="uk-UA"/>
        </w:rPr>
        <w:t xml:space="preserve">Станом на </w:t>
      </w:r>
      <w:r w:rsidR="00980979" w:rsidRPr="000E05A8">
        <w:rPr>
          <w:sz w:val="22"/>
          <w:szCs w:val="22"/>
          <w:lang w:val="uk-UA"/>
        </w:rPr>
        <w:t>31.03.2021</w:t>
      </w:r>
      <w:r w:rsidRPr="000E05A8">
        <w:rPr>
          <w:sz w:val="22"/>
          <w:szCs w:val="22"/>
          <w:lang w:val="uk-UA"/>
        </w:rPr>
        <w:t xml:space="preserve">р. проти Товариства не відкрито судових проваджень та Товариство не має судових спорів. </w:t>
      </w:r>
    </w:p>
    <w:p w14:paraId="5CC4B58A" w14:textId="77777777" w:rsidR="00752554" w:rsidRPr="000E05A8" w:rsidRDefault="00752554" w:rsidP="00794809">
      <w:pPr>
        <w:shd w:val="clear" w:color="auto" w:fill="FFFFFF"/>
        <w:ind w:firstLine="709"/>
        <w:jc w:val="both"/>
        <w:outlineLvl w:val="0"/>
        <w:rPr>
          <w:b/>
          <w:bCs/>
          <w:i/>
          <w:spacing w:val="2"/>
          <w:sz w:val="22"/>
          <w:szCs w:val="22"/>
          <w:lang w:val="uk-UA"/>
        </w:rPr>
      </w:pPr>
    </w:p>
    <w:p w14:paraId="01756825" w14:textId="77777777" w:rsidR="00752554" w:rsidRPr="000E05A8" w:rsidRDefault="00752554" w:rsidP="00794809">
      <w:pPr>
        <w:shd w:val="clear" w:color="auto" w:fill="FFFFFF"/>
        <w:ind w:firstLine="709"/>
        <w:jc w:val="both"/>
        <w:outlineLvl w:val="0"/>
        <w:rPr>
          <w:b/>
          <w:bCs/>
          <w:i/>
          <w:spacing w:val="2"/>
          <w:sz w:val="22"/>
          <w:szCs w:val="22"/>
          <w:lang w:val="uk-UA"/>
        </w:rPr>
      </w:pPr>
      <w:r w:rsidRPr="000E05A8">
        <w:rPr>
          <w:b/>
          <w:bCs/>
          <w:i/>
          <w:spacing w:val="2"/>
          <w:sz w:val="22"/>
          <w:szCs w:val="22"/>
          <w:lang w:val="uk-UA"/>
        </w:rPr>
        <w:t>7.1.2. Оподаткування</w:t>
      </w:r>
    </w:p>
    <w:p w14:paraId="10291455" w14:textId="65CB61B3"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На думку керівництва Товариство сплатило усі податки, тому проміжна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14:paraId="12FDBFE6" w14:textId="082D599A" w:rsidR="00752554" w:rsidRPr="000E05A8" w:rsidRDefault="00752554" w:rsidP="00794809">
      <w:pPr>
        <w:shd w:val="clear" w:color="auto" w:fill="FFFFFF"/>
        <w:ind w:firstLine="709"/>
        <w:jc w:val="both"/>
        <w:rPr>
          <w:b/>
          <w:bCs/>
          <w:i/>
          <w:spacing w:val="2"/>
          <w:sz w:val="22"/>
          <w:szCs w:val="22"/>
          <w:lang w:val="uk-UA"/>
        </w:rPr>
      </w:pPr>
    </w:p>
    <w:p w14:paraId="2BB79051"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7.1.2. Ступінь повернення дебіторської заборгованості та інших фінансових активів</w:t>
      </w:r>
    </w:p>
    <w:p w14:paraId="3C2846A2" w14:textId="205A4678"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14:paraId="702A96D1" w14:textId="77777777" w:rsidR="00752554" w:rsidRPr="000E05A8" w:rsidRDefault="00752554" w:rsidP="00794809">
      <w:pPr>
        <w:shd w:val="clear" w:color="auto" w:fill="FFFFFF"/>
        <w:ind w:firstLine="709"/>
        <w:jc w:val="both"/>
        <w:outlineLvl w:val="0"/>
        <w:rPr>
          <w:sz w:val="22"/>
          <w:szCs w:val="22"/>
          <w:lang w:val="uk-UA"/>
        </w:rPr>
      </w:pPr>
      <w:r w:rsidRPr="000E05A8">
        <w:rPr>
          <w:bCs/>
          <w:spacing w:val="-2"/>
          <w:sz w:val="22"/>
          <w:szCs w:val="22"/>
          <w:lang w:val="uk-UA"/>
        </w:rPr>
        <w:t xml:space="preserve">Ступінь повернення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та інформації, </w:t>
      </w:r>
      <w:r w:rsidRPr="000E05A8">
        <w:rPr>
          <w:sz w:val="22"/>
          <w:szCs w:val="22"/>
          <w:lang w:val="uk-UA"/>
        </w:rPr>
        <w:t>кредитний ризик для фінансових активів Товариством визначений як дуже низький, тому кредитних збитків не очікується.</w:t>
      </w:r>
    </w:p>
    <w:p w14:paraId="2CE8CFE8" w14:textId="77777777" w:rsidR="00752554" w:rsidRPr="000E05A8" w:rsidRDefault="00752554" w:rsidP="00794809">
      <w:pPr>
        <w:shd w:val="clear" w:color="auto" w:fill="FFFFFF"/>
        <w:ind w:firstLine="709"/>
        <w:jc w:val="both"/>
        <w:outlineLvl w:val="0"/>
        <w:rPr>
          <w:spacing w:val="-2"/>
          <w:sz w:val="22"/>
          <w:szCs w:val="22"/>
          <w:lang w:val="uk-UA"/>
        </w:rPr>
      </w:pPr>
      <w:bookmarkStart w:id="7" w:name="bookmark26"/>
    </w:p>
    <w:p w14:paraId="7A7CB40B" w14:textId="77777777" w:rsidR="00752554" w:rsidRPr="000E05A8" w:rsidRDefault="00752554" w:rsidP="00794809">
      <w:pPr>
        <w:shd w:val="clear" w:color="auto" w:fill="FFFFFF"/>
        <w:ind w:firstLine="709"/>
        <w:jc w:val="both"/>
        <w:outlineLvl w:val="0"/>
        <w:rPr>
          <w:b/>
          <w:spacing w:val="-2"/>
          <w:sz w:val="22"/>
          <w:szCs w:val="22"/>
          <w:lang w:val="uk-UA"/>
        </w:rPr>
      </w:pPr>
      <w:r w:rsidRPr="000E05A8">
        <w:rPr>
          <w:b/>
          <w:i/>
          <w:spacing w:val="-2"/>
          <w:sz w:val="22"/>
          <w:szCs w:val="22"/>
          <w:lang w:val="uk-UA"/>
        </w:rPr>
        <w:t>7.2. Розкриття інформації про пов'язані сторони</w:t>
      </w:r>
      <w:bookmarkEnd w:id="7"/>
    </w:p>
    <w:p w14:paraId="1D14161D" w14:textId="219CFD10" w:rsidR="009B5B6E" w:rsidRPr="000E05A8" w:rsidRDefault="009B5B6E" w:rsidP="009B5B6E">
      <w:pPr>
        <w:ind w:firstLine="709"/>
        <w:jc w:val="both"/>
        <w:rPr>
          <w:b/>
          <w:color w:val="FF0000"/>
          <w:sz w:val="22"/>
          <w:szCs w:val="22"/>
          <w:lang w:val="uk-UA"/>
        </w:rPr>
      </w:pPr>
      <w:r w:rsidRPr="000E05A8">
        <w:rPr>
          <w:sz w:val="22"/>
          <w:szCs w:val="22"/>
          <w:lang w:val="uk-UA"/>
        </w:rPr>
        <w:t xml:space="preserve">Перелік пов’язаних осіб Товариства на </w:t>
      </w:r>
      <w:r w:rsidR="00980979" w:rsidRPr="000E05A8">
        <w:rPr>
          <w:sz w:val="22"/>
          <w:szCs w:val="22"/>
          <w:lang w:val="uk-UA"/>
        </w:rPr>
        <w:t>31.03.2021</w:t>
      </w:r>
      <w:r w:rsidRPr="000E05A8">
        <w:rPr>
          <w:sz w:val="22"/>
          <w:szCs w:val="22"/>
          <w:lang w:val="uk-UA"/>
        </w:rPr>
        <w:t xml:space="preserve"> року:</w:t>
      </w:r>
      <w:r w:rsidR="00CE7105" w:rsidRPr="000E05A8">
        <w:rPr>
          <w:sz w:val="22"/>
          <w:szCs w:val="22"/>
          <w:lang w:val="uk-UA"/>
        </w:rPr>
        <w:t xml:space="preserve"> </w:t>
      </w:r>
    </w:p>
    <w:p w14:paraId="49AEEA5B" w14:textId="77777777" w:rsidR="002C01A4" w:rsidRPr="000E05A8" w:rsidRDefault="00F36E2C" w:rsidP="009B5B6E">
      <w:pPr>
        <w:ind w:firstLine="709"/>
        <w:jc w:val="both"/>
        <w:rPr>
          <w:sz w:val="22"/>
          <w:szCs w:val="22"/>
          <w:u w:val="single"/>
          <w:lang w:val="uk-UA"/>
        </w:rPr>
      </w:pPr>
      <w:r w:rsidRPr="000E05A8">
        <w:rPr>
          <w:sz w:val="22"/>
          <w:szCs w:val="22"/>
          <w:u w:val="single"/>
          <w:lang w:val="uk-UA"/>
        </w:rPr>
        <w:t>Власник Товариства</w:t>
      </w:r>
      <w:r w:rsidR="002C01A4" w:rsidRPr="000E05A8">
        <w:rPr>
          <w:sz w:val="22"/>
          <w:szCs w:val="22"/>
          <w:u w:val="single"/>
          <w:lang w:val="uk-UA"/>
        </w:rPr>
        <w:t xml:space="preserve">: </w:t>
      </w:r>
    </w:p>
    <w:p w14:paraId="786F20E5" w14:textId="54917BA5" w:rsidR="00703B59" w:rsidRPr="000E05A8" w:rsidRDefault="002C01A4" w:rsidP="00703B59">
      <w:pPr>
        <w:ind w:firstLine="709"/>
        <w:jc w:val="both"/>
        <w:rPr>
          <w:color w:val="212529"/>
          <w:sz w:val="22"/>
          <w:szCs w:val="22"/>
          <w:shd w:val="clear" w:color="auto" w:fill="FFFFFF"/>
          <w:lang w:val="uk-UA"/>
        </w:rPr>
      </w:pPr>
      <w:r w:rsidRPr="000E05A8">
        <w:rPr>
          <w:color w:val="212529"/>
          <w:sz w:val="22"/>
          <w:szCs w:val="22"/>
          <w:shd w:val="clear" w:color="auto" w:fill="FFFFFF"/>
          <w:lang w:val="uk-UA"/>
        </w:rPr>
        <w:t>ТОВАРИСТВО З ОБМЕЖЕНОЮ ВІДПОВІДАЛЬНІСТЮ "ЮРИДИЧНА ФІРМА "ЕВРІС"</w:t>
      </w:r>
      <w:r w:rsidR="00703B59" w:rsidRPr="000E05A8">
        <w:rPr>
          <w:color w:val="212529"/>
          <w:sz w:val="22"/>
          <w:szCs w:val="22"/>
          <w:shd w:val="clear" w:color="auto" w:fill="FFFFFF"/>
          <w:lang w:val="uk-UA"/>
        </w:rPr>
        <w:t xml:space="preserve"> (далі – ТОВ «ЮФ «ЕВРІС»)</w:t>
      </w:r>
      <w:r w:rsidRPr="000E05A8">
        <w:rPr>
          <w:color w:val="212529"/>
          <w:sz w:val="22"/>
          <w:szCs w:val="22"/>
          <w:shd w:val="clear" w:color="auto" w:fill="FFFFFF"/>
          <w:lang w:val="uk-UA"/>
        </w:rPr>
        <w:t>, код за ЄДРПОУ 41521136, місцезнаходження</w:t>
      </w:r>
      <w:r w:rsidR="003B5D80" w:rsidRPr="000E05A8">
        <w:rPr>
          <w:color w:val="212529"/>
          <w:sz w:val="22"/>
          <w:szCs w:val="22"/>
          <w:shd w:val="clear" w:color="auto" w:fill="FFFFFF"/>
          <w:lang w:val="uk-UA"/>
        </w:rPr>
        <w:t xml:space="preserve">: Україна, 01030, місто Київ, вулиця Богдана Хмельницького, будинок 52, </w:t>
      </w:r>
      <w:r w:rsidR="00777E20" w:rsidRPr="000E05A8">
        <w:rPr>
          <w:color w:val="212529"/>
          <w:sz w:val="22"/>
          <w:szCs w:val="22"/>
          <w:shd w:val="clear" w:color="auto" w:fill="FFFFFF"/>
          <w:lang w:val="uk-UA"/>
        </w:rPr>
        <w:t>частка в статутному капіталі Товариства 100 %.</w:t>
      </w:r>
    </w:p>
    <w:p w14:paraId="575A2488" w14:textId="77777777" w:rsidR="00DB1281" w:rsidRPr="000E05A8" w:rsidRDefault="00DB1281" w:rsidP="00DB1281">
      <w:pPr>
        <w:ind w:firstLine="709"/>
        <w:jc w:val="both"/>
        <w:rPr>
          <w:sz w:val="22"/>
          <w:szCs w:val="22"/>
          <w:lang w:val="uk-UA"/>
        </w:rPr>
      </w:pPr>
      <w:r w:rsidRPr="000E05A8">
        <w:rPr>
          <w:sz w:val="22"/>
          <w:szCs w:val="22"/>
          <w:u w:val="single"/>
          <w:lang w:val="uk-UA"/>
        </w:rPr>
        <w:lastRenderedPageBreak/>
        <w:t>Кінцевий бенефіціарний власник Товариства:</w:t>
      </w:r>
      <w:r w:rsidRPr="000E05A8">
        <w:rPr>
          <w:sz w:val="22"/>
          <w:szCs w:val="22"/>
          <w:lang w:val="uk-UA"/>
        </w:rPr>
        <w:t xml:space="preserve"> </w:t>
      </w:r>
    </w:p>
    <w:p w14:paraId="38385983" w14:textId="7F89A6CA" w:rsidR="00DB1281" w:rsidRPr="000E05A8" w:rsidRDefault="00DB1281" w:rsidP="00DB1281">
      <w:pPr>
        <w:ind w:firstLine="709"/>
        <w:jc w:val="both"/>
        <w:rPr>
          <w:color w:val="000000" w:themeColor="text1"/>
          <w:sz w:val="22"/>
          <w:szCs w:val="22"/>
          <w:lang w:val="uk-UA" w:eastAsia="uk-UA"/>
        </w:rPr>
      </w:pPr>
      <w:r w:rsidRPr="000E05A8">
        <w:rPr>
          <w:color w:val="212529"/>
          <w:sz w:val="22"/>
          <w:szCs w:val="22"/>
          <w:shd w:val="clear" w:color="auto" w:fill="FFFFFF"/>
          <w:lang w:val="uk-UA"/>
        </w:rPr>
        <w:t xml:space="preserve">Довбенко Андрій Миколайович, </w:t>
      </w:r>
      <w:r w:rsidRPr="000E05A8">
        <w:rPr>
          <w:color w:val="000000" w:themeColor="text1"/>
          <w:sz w:val="22"/>
          <w:szCs w:val="22"/>
          <w:lang w:val="uk-UA" w:eastAsia="uk-UA"/>
        </w:rPr>
        <w:t xml:space="preserve">володіє часткою в статутному капіталі </w:t>
      </w:r>
      <w:r w:rsidRPr="000E05A8">
        <w:rPr>
          <w:color w:val="212529"/>
          <w:sz w:val="22"/>
          <w:szCs w:val="22"/>
          <w:shd w:val="clear" w:color="auto" w:fill="FFFFFF"/>
          <w:lang w:val="uk-UA"/>
        </w:rPr>
        <w:t>ТОВ «ЮФ «ЕВРІС»</w:t>
      </w:r>
      <w:r w:rsidRPr="000E05A8">
        <w:rPr>
          <w:bCs/>
          <w:sz w:val="22"/>
          <w:szCs w:val="22"/>
          <w:lang w:val="uk-UA"/>
        </w:rPr>
        <w:t xml:space="preserve"> в розмірі 100 %.</w:t>
      </w:r>
    </w:p>
    <w:p w14:paraId="4A66CCAF" w14:textId="6C5CFD74" w:rsidR="004E5085" w:rsidRPr="000E05A8" w:rsidRDefault="00C9679D" w:rsidP="00703B59">
      <w:pPr>
        <w:ind w:firstLine="709"/>
        <w:jc w:val="both"/>
        <w:rPr>
          <w:color w:val="000000" w:themeColor="text1"/>
          <w:sz w:val="22"/>
          <w:szCs w:val="22"/>
          <w:u w:val="single"/>
          <w:lang w:val="uk-UA" w:eastAsia="uk-UA"/>
        </w:rPr>
      </w:pPr>
      <w:r w:rsidRPr="000E05A8">
        <w:rPr>
          <w:color w:val="000000" w:themeColor="text1"/>
          <w:sz w:val="22"/>
          <w:szCs w:val="22"/>
          <w:u w:val="single"/>
          <w:lang w:val="uk-UA" w:eastAsia="uk-UA"/>
        </w:rPr>
        <w:t>Фізичні особи:</w:t>
      </w:r>
    </w:p>
    <w:p w14:paraId="467439E2" w14:textId="594A80E7" w:rsidR="00C9679D" w:rsidRPr="000E05A8" w:rsidRDefault="00C9679D" w:rsidP="00703B59">
      <w:pPr>
        <w:ind w:firstLine="709"/>
        <w:jc w:val="both"/>
        <w:rPr>
          <w:color w:val="000000"/>
          <w:sz w:val="22"/>
          <w:szCs w:val="22"/>
          <w:shd w:val="clear" w:color="auto" w:fill="FFFFFF"/>
          <w:lang w:val="uk-UA"/>
        </w:rPr>
      </w:pPr>
      <w:r w:rsidRPr="000E05A8">
        <w:rPr>
          <w:color w:val="000000" w:themeColor="text1"/>
          <w:sz w:val="22"/>
          <w:szCs w:val="22"/>
          <w:lang w:val="uk-UA" w:eastAsia="uk-UA"/>
        </w:rPr>
        <w:t>Директор ТОВ «ЮФ «ЕВРІС»</w:t>
      </w:r>
      <w:r w:rsidR="00D879C8" w:rsidRPr="000E05A8">
        <w:rPr>
          <w:color w:val="000000" w:themeColor="text1"/>
          <w:sz w:val="22"/>
          <w:szCs w:val="22"/>
          <w:lang w:val="uk-UA" w:eastAsia="uk-UA"/>
        </w:rPr>
        <w:t xml:space="preserve"> - Тютюнник Юрій Миколайович, </w:t>
      </w:r>
      <w:r w:rsidR="00D879C8" w:rsidRPr="000E05A8">
        <w:rPr>
          <w:sz w:val="22"/>
          <w:szCs w:val="22"/>
          <w:lang w:val="uk-UA"/>
        </w:rPr>
        <w:t>Реєстраційний номер облікової картки платника податків</w:t>
      </w:r>
      <w:r w:rsidR="008B73BD" w:rsidRPr="000E05A8">
        <w:rPr>
          <w:color w:val="000000"/>
          <w:sz w:val="22"/>
          <w:szCs w:val="22"/>
          <w:shd w:val="clear" w:color="auto" w:fill="FFFFFF"/>
          <w:lang w:val="uk-UA"/>
        </w:rPr>
        <w:t>.</w:t>
      </w:r>
    </w:p>
    <w:p w14:paraId="0EC51FCE" w14:textId="4406C2C0" w:rsidR="008B73BD" w:rsidRPr="000E05A8" w:rsidRDefault="00D76517" w:rsidP="00703B59">
      <w:pPr>
        <w:ind w:firstLine="709"/>
        <w:jc w:val="both"/>
        <w:rPr>
          <w:sz w:val="22"/>
          <w:szCs w:val="22"/>
          <w:u w:val="single"/>
          <w:lang w:val="uk-UA"/>
        </w:rPr>
      </w:pPr>
      <w:r w:rsidRPr="000E05A8">
        <w:rPr>
          <w:color w:val="000000"/>
          <w:sz w:val="22"/>
          <w:szCs w:val="22"/>
          <w:u w:val="single"/>
          <w:shd w:val="clear" w:color="auto" w:fill="FFFFFF"/>
          <w:lang w:val="uk-UA"/>
        </w:rPr>
        <w:t xml:space="preserve">Інформація про керівника </w:t>
      </w:r>
      <w:r w:rsidR="0017456E">
        <w:rPr>
          <w:color w:val="000000"/>
          <w:sz w:val="22"/>
          <w:szCs w:val="22"/>
          <w:u w:val="single"/>
          <w:shd w:val="clear" w:color="auto" w:fill="FFFFFF"/>
          <w:lang w:val="uk-UA"/>
        </w:rPr>
        <w:t>Товариства</w:t>
      </w:r>
      <w:r w:rsidRPr="000E05A8">
        <w:rPr>
          <w:color w:val="000000"/>
          <w:sz w:val="22"/>
          <w:szCs w:val="22"/>
          <w:u w:val="single"/>
          <w:shd w:val="clear" w:color="auto" w:fill="FFFFFF"/>
          <w:lang w:val="uk-UA"/>
        </w:rPr>
        <w:t xml:space="preserve"> та його пов'язаних осіб</w:t>
      </w:r>
      <w:r w:rsidRPr="000E05A8">
        <w:rPr>
          <w:color w:val="000000"/>
          <w:sz w:val="22"/>
          <w:szCs w:val="22"/>
          <w:u w:val="single"/>
          <w:shd w:val="clear" w:color="auto" w:fill="FFFFFF"/>
        </w:rPr>
        <w:t xml:space="preserve"> </w:t>
      </w:r>
      <w:r w:rsidRPr="000E05A8">
        <w:rPr>
          <w:color w:val="000000"/>
          <w:sz w:val="22"/>
          <w:szCs w:val="22"/>
          <w:u w:val="single"/>
          <w:shd w:val="clear" w:color="auto" w:fill="FFFFFF"/>
          <w:lang w:val="uk-UA"/>
        </w:rPr>
        <w:t>наведена нижче:</w:t>
      </w:r>
    </w:p>
    <w:tbl>
      <w:tblPr>
        <w:tblW w:w="8926"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89"/>
        <w:gridCol w:w="1305"/>
        <w:gridCol w:w="1185"/>
        <w:gridCol w:w="3353"/>
        <w:gridCol w:w="1561"/>
        <w:gridCol w:w="1133"/>
      </w:tblGrid>
      <w:tr w:rsidR="0067359C" w:rsidRPr="009F1BF0" w14:paraId="5E920492" w14:textId="77777777" w:rsidTr="0067359C">
        <w:trPr>
          <w:tblCellSpacing w:w="22" w:type="dxa"/>
          <w:jc w:val="center"/>
        </w:trPr>
        <w:tc>
          <w:tcPr>
            <w:tcW w:w="181" w:type="pct"/>
          </w:tcPr>
          <w:p w14:paraId="03B8E01C"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з/п</w:t>
            </w:r>
          </w:p>
        </w:tc>
        <w:tc>
          <w:tcPr>
            <w:tcW w:w="706" w:type="pct"/>
          </w:tcPr>
          <w:p w14:paraId="667A553B"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Прізвище, ім'я, по батькові керівника заявника та його прямих родичів (ступінь родинного зв'язку)</w:t>
            </w:r>
          </w:p>
        </w:tc>
        <w:tc>
          <w:tcPr>
            <w:tcW w:w="639" w:type="pct"/>
          </w:tcPr>
          <w:p w14:paraId="3ACD7218"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Ідентифікаційний код юридичної особи, щодо якої існує пов'язаність</w:t>
            </w:r>
          </w:p>
        </w:tc>
        <w:tc>
          <w:tcPr>
            <w:tcW w:w="1854" w:type="pct"/>
          </w:tcPr>
          <w:p w14:paraId="769ED1D7"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Повне найменування юридичної особи, щодо якої існує пов'язаність</w:t>
            </w:r>
          </w:p>
        </w:tc>
        <w:tc>
          <w:tcPr>
            <w:tcW w:w="850" w:type="pct"/>
          </w:tcPr>
          <w:p w14:paraId="45E51E1D"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Місцезнаходження юридичної особи, щодо якої існує пов'язаність</w:t>
            </w:r>
          </w:p>
        </w:tc>
        <w:tc>
          <w:tcPr>
            <w:tcW w:w="598" w:type="pct"/>
          </w:tcPr>
          <w:p w14:paraId="01C125DE"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Частка в статутному капіталі пов'язаної особи, %</w:t>
            </w:r>
          </w:p>
        </w:tc>
      </w:tr>
      <w:tr w:rsidR="0067359C" w:rsidRPr="009F1BF0" w14:paraId="09A0A627" w14:textId="77777777" w:rsidTr="0067359C">
        <w:trPr>
          <w:tblCellSpacing w:w="22" w:type="dxa"/>
          <w:jc w:val="center"/>
        </w:trPr>
        <w:tc>
          <w:tcPr>
            <w:tcW w:w="181" w:type="pct"/>
          </w:tcPr>
          <w:p w14:paraId="22C630FA"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1</w:t>
            </w:r>
          </w:p>
        </w:tc>
        <w:tc>
          <w:tcPr>
            <w:tcW w:w="706" w:type="pct"/>
          </w:tcPr>
          <w:p w14:paraId="2851BBCA"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2</w:t>
            </w:r>
          </w:p>
        </w:tc>
        <w:tc>
          <w:tcPr>
            <w:tcW w:w="639" w:type="pct"/>
          </w:tcPr>
          <w:p w14:paraId="5F34A9B8" w14:textId="4D9C4CF5" w:rsidR="0067359C" w:rsidRPr="009F1BF0" w:rsidRDefault="005D3201" w:rsidP="008E48DC">
            <w:pPr>
              <w:spacing w:after="160" w:line="259" w:lineRule="auto"/>
              <w:rPr>
                <w:rFonts w:eastAsia="Calibri"/>
                <w:sz w:val="20"/>
                <w:szCs w:val="20"/>
                <w:lang w:val="uk-UA" w:eastAsia="en-US"/>
              </w:rPr>
            </w:pPr>
            <w:r>
              <w:rPr>
                <w:rFonts w:eastAsia="Calibri"/>
                <w:sz w:val="20"/>
                <w:szCs w:val="20"/>
                <w:lang w:val="uk-UA" w:eastAsia="en-US"/>
              </w:rPr>
              <w:t>3</w:t>
            </w:r>
          </w:p>
        </w:tc>
        <w:tc>
          <w:tcPr>
            <w:tcW w:w="1854" w:type="pct"/>
          </w:tcPr>
          <w:p w14:paraId="025FE8B1" w14:textId="607BDF77" w:rsidR="0067359C" w:rsidRPr="009F1BF0" w:rsidRDefault="005D3201" w:rsidP="008E48DC">
            <w:pPr>
              <w:spacing w:after="160" w:line="259" w:lineRule="auto"/>
              <w:rPr>
                <w:rFonts w:eastAsia="Calibri"/>
                <w:sz w:val="20"/>
                <w:szCs w:val="20"/>
                <w:lang w:val="uk-UA" w:eastAsia="en-US"/>
              </w:rPr>
            </w:pPr>
            <w:r>
              <w:rPr>
                <w:rFonts w:eastAsia="Calibri"/>
                <w:sz w:val="20"/>
                <w:szCs w:val="20"/>
                <w:lang w:val="uk-UA" w:eastAsia="en-US"/>
              </w:rPr>
              <w:t>4</w:t>
            </w:r>
          </w:p>
        </w:tc>
        <w:tc>
          <w:tcPr>
            <w:tcW w:w="850" w:type="pct"/>
          </w:tcPr>
          <w:p w14:paraId="346E708B" w14:textId="1BBA9E14" w:rsidR="0067359C" w:rsidRPr="009F1BF0" w:rsidRDefault="005D3201" w:rsidP="008E48DC">
            <w:pPr>
              <w:spacing w:after="160" w:line="259" w:lineRule="auto"/>
              <w:rPr>
                <w:rFonts w:eastAsia="Calibri"/>
                <w:sz w:val="20"/>
                <w:szCs w:val="20"/>
                <w:lang w:val="uk-UA" w:eastAsia="en-US"/>
              </w:rPr>
            </w:pPr>
            <w:r>
              <w:rPr>
                <w:rFonts w:eastAsia="Calibri"/>
                <w:sz w:val="20"/>
                <w:szCs w:val="20"/>
                <w:lang w:val="uk-UA" w:eastAsia="en-US"/>
              </w:rPr>
              <w:t>5</w:t>
            </w:r>
          </w:p>
        </w:tc>
        <w:tc>
          <w:tcPr>
            <w:tcW w:w="598" w:type="pct"/>
          </w:tcPr>
          <w:p w14:paraId="0BE05EB7" w14:textId="356620D0" w:rsidR="0067359C" w:rsidRPr="009F1BF0" w:rsidRDefault="005D3201" w:rsidP="008E48DC">
            <w:pPr>
              <w:spacing w:after="160" w:line="259" w:lineRule="auto"/>
              <w:rPr>
                <w:rFonts w:eastAsia="Calibri"/>
                <w:sz w:val="20"/>
                <w:szCs w:val="20"/>
                <w:lang w:val="uk-UA" w:eastAsia="en-US"/>
              </w:rPr>
            </w:pPr>
            <w:r>
              <w:rPr>
                <w:rFonts w:eastAsia="Calibri"/>
                <w:sz w:val="20"/>
                <w:szCs w:val="20"/>
                <w:lang w:val="uk-UA" w:eastAsia="en-US"/>
              </w:rPr>
              <w:t>6</w:t>
            </w:r>
          </w:p>
        </w:tc>
      </w:tr>
      <w:tr w:rsidR="0067359C" w:rsidRPr="009F1BF0" w14:paraId="57B8B554" w14:textId="77777777" w:rsidTr="0067359C">
        <w:trPr>
          <w:tblCellSpacing w:w="22" w:type="dxa"/>
          <w:jc w:val="center"/>
        </w:trPr>
        <w:tc>
          <w:tcPr>
            <w:tcW w:w="181" w:type="pct"/>
          </w:tcPr>
          <w:p w14:paraId="7312D0B9" w14:textId="77777777" w:rsidR="0067359C" w:rsidRPr="009F1BF0" w:rsidRDefault="0067359C" w:rsidP="008E48DC">
            <w:pPr>
              <w:spacing w:after="160" w:line="259" w:lineRule="auto"/>
              <w:rPr>
                <w:rFonts w:eastAsia="Calibri"/>
                <w:b/>
                <w:bCs/>
                <w:sz w:val="20"/>
                <w:szCs w:val="20"/>
                <w:lang w:eastAsia="en-US"/>
              </w:rPr>
            </w:pPr>
            <w:r w:rsidRPr="009F1BF0">
              <w:rPr>
                <w:rFonts w:eastAsia="Calibri"/>
                <w:b/>
                <w:bCs/>
                <w:sz w:val="20"/>
                <w:szCs w:val="20"/>
                <w:lang w:val="uk-UA" w:eastAsia="en-US"/>
              </w:rPr>
              <w:t> </w:t>
            </w:r>
            <w:r w:rsidRPr="009F1BF0">
              <w:rPr>
                <w:rFonts w:eastAsia="Calibri"/>
                <w:b/>
                <w:bCs/>
                <w:sz w:val="20"/>
                <w:szCs w:val="20"/>
                <w:lang w:eastAsia="en-US"/>
              </w:rPr>
              <w:t>1</w:t>
            </w:r>
          </w:p>
        </w:tc>
        <w:tc>
          <w:tcPr>
            <w:tcW w:w="706" w:type="pct"/>
          </w:tcPr>
          <w:p w14:paraId="33DE5001"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Недобор Світлана Ігорівна</w:t>
            </w:r>
          </w:p>
        </w:tc>
        <w:tc>
          <w:tcPr>
            <w:tcW w:w="639" w:type="pct"/>
          </w:tcPr>
          <w:p w14:paraId="00EBAE8A"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43783292</w:t>
            </w:r>
          </w:p>
        </w:tc>
        <w:tc>
          <w:tcPr>
            <w:tcW w:w="1854" w:type="pct"/>
          </w:tcPr>
          <w:p w14:paraId="6C9394D5"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ТОВАРИСТВО З ОБМЕЖЕНОЮ ВІДПОВІДАЛЬНІСТЮ «КОМПАНІЯ З УПРАВЛІННЯ АКТИВАМИ «ЕВРІС»</w:t>
            </w:r>
          </w:p>
        </w:tc>
        <w:tc>
          <w:tcPr>
            <w:tcW w:w="850" w:type="pct"/>
          </w:tcPr>
          <w:p w14:paraId="74C1B221"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Україна, 01601, місто Київ, вул. Мечнікова, будинок 2А </w:t>
            </w:r>
          </w:p>
        </w:tc>
        <w:tc>
          <w:tcPr>
            <w:tcW w:w="598" w:type="pct"/>
          </w:tcPr>
          <w:p w14:paraId="45DB8004"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0</w:t>
            </w:r>
          </w:p>
        </w:tc>
      </w:tr>
      <w:tr w:rsidR="0067359C" w:rsidRPr="009F1BF0" w14:paraId="7319FA33" w14:textId="77777777" w:rsidTr="0067359C">
        <w:trPr>
          <w:tblCellSpacing w:w="22" w:type="dxa"/>
          <w:jc w:val="center"/>
        </w:trPr>
        <w:tc>
          <w:tcPr>
            <w:tcW w:w="181" w:type="pct"/>
          </w:tcPr>
          <w:p w14:paraId="64112E35" w14:textId="77777777" w:rsidR="0067359C" w:rsidRPr="009F1BF0" w:rsidRDefault="0067359C" w:rsidP="008E48DC">
            <w:pPr>
              <w:spacing w:after="160" w:line="259" w:lineRule="auto"/>
              <w:rPr>
                <w:rFonts w:eastAsia="Calibri"/>
                <w:b/>
                <w:bCs/>
                <w:sz w:val="20"/>
                <w:szCs w:val="20"/>
                <w:lang w:eastAsia="en-US"/>
              </w:rPr>
            </w:pPr>
            <w:r w:rsidRPr="009F1BF0">
              <w:rPr>
                <w:rFonts w:eastAsia="Calibri"/>
                <w:b/>
                <w:bCs/>
                <w:sz w:val="20"/>
                <w:szCs w:val="20"/>
                <w:lang w:eastAsia="en-US"/>
              </w:rPr>
              <w:t>2</w:t>
            </w:r>
          </w:p>
        </w:tc>
        <w:tc>
          <w:tcPr>
            <w:tcW w:w="706" w:type="pct"/>
          </w:tcPr>
          <w:p w14:paraId="0226872B"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Недобор Світлана Ігорівна</w:t>
            </w:r>
          </w:p>
        </w:tc>
        <w:tc>
          <w:tcPr>
            <w:tcW w:w="639" w:type="pct"/>
          </w:tcPr>
          <w:p w14:paraId="07B5F880"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22795553</w:t>
            </w:r>
          </w:p>
        </w:tc>
        <w:tc>
          <w:tcPr>
            <w:tcW w:w="1854" w:type="pct"/>
          </w:tcPr>
          <w:p w14:paraId="6B0AF87A"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ТОВАРИСТВО З ОБМЕЖЕНОЮ ВІДПОВІДАЛЬНІСТЮ «АУДИТОРСЬКА ФІРМА «АУДИТ-ПАРТНЕР»</w:t>
            </w:r>
          </w:p>
        </w:tc>
        <w:tc>
          <w:tcPr>
            <w:tcW w:w="850" w:type="pct"/>
          </w:tcPr>
          <w:p w14:paraId="1EEB4015"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Україна, 02140, місто Київ, вулиця С.Крушильницької, будинок 5, квартира 52</w:t>
            </w:r>
          </w:p>
        </w:tc>
        <w:tc>
          <w:tcPr>
            <w:tcW w:w="598" w:type="pct"/>
          </w:tcPr>
          <w:p w14:paraId="42061E80"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25</w:t>
            </w:r>
          </w:p>
        </w:tc>
      </w:tr>
      <w:tr w:rsidR="0067359C" w:rsidRPr="009F1BF0" w14:paraId="75E2D24E" w14:textId="77777777" w:rsidTr="0067359C">
        <w:trPr>
          <w:tblCellSpacing w:w="22" w:type="dxa"/>
          <w:jc w:val="center"/>
        </w:trPr>
        <w:tc>
          <w:tcPr>
            <w:tcW w:w="181" w:type="pct"/>
          </w:tcPr>
          <w:p w14:paraId="46A05FCD" w14:textId="77777777" w:rsidR="0067359C" w:rsidRPr="009F1BF0" w:rsidRDefault="0067359C" w:rsidP="008E48DC">
            <w:pPr>
              <w:spacing w:after="160" w:line="259" w:lineRule="auto"/>
              <w:rPr>
                <w:rFonts w:eastAsia="Calibri"/>
                <w:b/>
                <w:bCs/>
                <w:sz w:val="20"/>
                <w:szCs w:val="20"/>
                <w:lang w:eastAsia="en-US"/>
              </w:rPr>
            </w:pPr>
            <w:r w:rsidRPr="009F1BF0">
              <w:rPr>
                <w:rFonts w:eastAsia="Calibri"/>
                <w:b/>
                <w:bCs/>
                <w:sz w:val="20"/>
                <w:szCs w:val="20"/>
                <w:lang w:eastAsia="en-US"/>
              </w:rPr>
              <w:t>3</w:t>
            </w:r>
          </w:p>
        </w:tc>
        <w:tc>
          <w:tcPr>
            <w:tcW w:w="706" w:type="pct"/>
          </w:tcPr>
          <w:p w14:paraId="11881D42"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Недобор Олексій Олегович (чоловік)</w:t>
            </w:r>
          </w:p>
        </w:tc>
        <w:tc>
          <w:tcPr>
            <w:tcW w:w="639" w:type="pct"/>
          </w:tcPr>
          <w:p w14:paraId="2D055BA8"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43783292</w:t>
            </w:r>
          </w:p>
        </w:tc>
        <w:tc>
          <w:tcPr>
            <w:tcW w:w="1854" w:type="pct"/>
          </w:tcPr>
          <w:p w14:paraId="419A1220"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 ТОВАРИСТВО З ОБМЕЖЕНОЮ ВІДПОВІДАЛЬНІСТЮ «КОМПАНІЯ З УПРАВЛІННЯ АКТИВАМИ «ЕВРІС»</w:t>
            </w:r>
          </w:p>
        </w:tc>
        <w:tc>
          <w:tcPr>
            <w:tcW w:w="850" w:type="pct"/>
          </w:tcPr>
          <w:p w14:paraId="4EB62426"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Україна, 01601, місто Київ, вул. Мечнікова, будинок 2А </w:t>
            </w:r>
          </w:p>
        </w:tc>
        <w:tc>
          <w:tcPr>
            <w:tcW w:w="598" w:type="pct"/>
          </w:tcPr>
          <w:p w14:paraId="3C95AD6E"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0</w:t>
            </w:r>
          </w:p>
        </w:tc>
      </w:tr>
      <w:tr w:rsidR="0067359C" w:rsidRPr="009F1BF0" w14:paraId="596ABAED" w14:textId="77777777" w:rsidTr="0067359C">
        <w:trPr>
          <w:tblCellSpacing w:w="22" w:type="dxa"/>
          <w:jc w:val="center"/>
        </w:trPr>
        <w:tc>
          <w:tcPr>
            <w:tcW w:w="181" w:type="pct"/>
          </w:tcPr>
          <w:p w14:paraId="19AAE722" w14:textId="77777777" w:rsidR="0067359C" w:rsidRPr="009F1BF0" w:rsidRDefault="0067359C" w:rsidP="008E48DC">
            <w:pPr>
              <w:spacing w:after="160" w:line="259" w:lineRule="auto"/>
              <w:rPr>
                <w:rFonts w:eastAsia="Calibri"/>
                <w:b/>
                <w:bCs/>
                <w:sz w:val="20"/>
                <w:szCs w:val="20"/>
                <w:lang w:eastAsia="en-US"/>
              </w:rPr>
            </w:pPr>
            <w:r w:rsidRPr="009F1BF0">
              <w:rPr>
                <w:rFonts w:eastAsia="Calibri"/>
                <w:b/>
                <w:bCs/>
                <w:sz w:val="20"/>
                <w:szCs w:val="20"/>
                <w:lang w:eastAsia="en-US"/>
              </w:rPr>
              <w:t>4</w:t>
            </w:r>
          </w:p>
        </w:tc>
        <w:tc>
          <w:tcPr>
            <w:tcW w:w="706" w:type="pct"/>
          </w:tcPr>
          <w:p w14:paraId="4C71D34D"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Недобор Олексій Олегович (чоловік)</w:t>
            </w:r>
          </w:p>
        </w:tc>
        <w:tc>
          <w:tcPr>
            <w:tcW w:w="639" w:type="pct"/>
          </w:tcPr>
          <w:p w14:paraId="313E7ACB"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22795553</w:t>
            </w:r>
          </w:p>
        </w:tc>
        <w:tc>
          <w:tcPr>
            <w:tcW w:w="1854" w:type="pct"/>
          </w:tcPr>
          <w:p w14:paraId="44F98DFF"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ТОВАРИСТВО З ОБМЕЖЕНОЮ ВІДПОВІДАЛЬНІСТЮ «АУДИТОРСЬКА ФІРМА «АУДИТ-ПАРТНЕР»</w:t>
            </w:r>
          </w:p>
        </w:tc>
        <w:tc>
          <w:tcPr>
            <w:tcW w:w="850" w:type="pct"/>
          </w:tcPr>
          <w:p w14:paraId="34C937B8"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Україна, 02140, місто Київ, вулиця С.Крушильницької, будинок 5, квартира 52</w:t>
            </w:r>
          </w:p>
        </w:tc>
        <w:tc>
          <w:tcPr>
            <w:tcW w:w="598" w:type="pct"/>
          </w:tcPr>
          <w:p w14:paraId="266B5DA5"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75</w:t>
            </w:r>
          </w:p>
        </w:tc>
      </w:tr>
      <w:tr w:rsidR="0067359C" w:rsidRPr="009F1BF0" w14:paraId="1A12D5F3" w14:textId="77777777" w:rsidTr="0067359C">
        <w:trPr>
          <w:tblCellSpacing w:w="22" w:type="dxa"/>
          <w:jc w:val="center"/>
        </w:trPr>
        <w:tc>
          <w:tcPr>
            <w:tcW w:w="181" w:type="pct"/>
          </w:tcPr>
          <w:p w14:paraId="6E91FEEB" w14:textId="77777777" w:rsidR="0067359C" w:rsidRPr="009F1BF0" w:rsidRDefault="0067359C" w:rsidP="008E48DC">
            <w:pPr>
              <w:spacing w:after="160" w:line="259" w:lineRule="auto"/>
              <w:rPr>
                <w:rFonts w:eastAsia="Calibri"/>
                <w:b/>
                <w:bCs/>
                <w:sz w:val="20"/>
                <w:szCs w:val="20"/>
                <w:lang w:eastAsia="en-US"/>
              </w:rPr>
            </w:pPr>
            <w:r w:rsidRPr="009F1BF0">
              <w:rPr>
                <w:rFonts w:eastAsia="Calibri"/>
                <w:b/>
                <w:bCs/>
                <w:sz w:val="20"/>
                <w:szCs w:val="20"/>
                <w:lang w:eastAsia="en-US"/>
              </w:rPr>
              <w:t>5</w:t>
            </w:r>
          </w:p>
        </w:tc>
        <w:tc>
          <w:tcPr>
            <w:tcW w:w="706" w:type="pct"/>
          </w:tcPr>
          <w:p w14:paraId="71ED81FE"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Недобор Олексій Олегович (чоловік)</w:t>
            </w:r>
          </w:p>
        </w:tc>
        <w:tc>
          <w:tcPr>
            <w:tcW w:w="639" w:type="pct"/>
          </w:tcPr>
          <w:p w14:paraId="1D3AB717"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33996157</w:t>
            </w:r>
          </w:p>
        </w:tc>
        <w:tc>
          <w:tcPr>
            <w:tcW w:w="1854" w:type="pct"/>
          </w:tcPr>
          <w:p w14:paraId="708EA5C6"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ТОВАРИСТВО З ОБМЕЖЕНОЮ ВІДПОВІДАЛЬНІСТЮ «САН КОНСАЛТИНГ»</w:t>
            </w:r>
          </w:p>
        </w:tc>
        <w:tc>
          <w:tcPr>
            <w:tcW w:w="850" w:type="pct"/>
          </w:tcPr>
          <w:p w14:paraId="2B7A9484"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Україна, 01042, м. Київ, бульвар Дружби Народів, будинок 9</w:t>
            </w:r>
          </w:p>
        </w:tc>
        <w:tc>
          <w:tcPr>
            <w:tcW w:w="598" w:type="pct"/>
          </w:tcPr>
          <w:p w14:paraId="18A061E6" w14:textId="77777777" w:rsidR="0067359C" w:rsidRPr="009F1BF0" w:rsidRDefault="0067359C" w:rsidP="008E48DC">
            <w:pPr>
              <w:spacing w:after="160" w:line="259" w:lineRule="auto"/>
              <w:rPr>
                <w:rFonts w:eastAsia="Calibri"/>
                <w:sz w:val="20"/>
                <w:szCs w:val="20"/>
                <w:lang w:val="uk-UA" w:eastAsia="en-US"/>
              </w:rPr>
            </w:pPr>
            <w:r w:rsidRPr="009F1BF0">
              <w:rPr>
                <w:rFonts w:eastAsia="Calibri"/>
                <w:sz w:val="20"/>
                <w:szCs w:val="20"/>
                <w:lang w:val="uk-UA" w:eastAsia="en-US"/>
              </w:rPr>
              <w:t>30</w:t>
            </w:r>
          </w:p>
        </w:tc>
      </w:tr>
    </w:tbl>
    <w:p w14:paraId="5852D239" w14:textId="77777777" w:rsidR="008E48DC" w:rsidRPr="000E05A8" w:rsidRDefault="008E48DC" w:rsidP="00703B59">
      <w:pPr>
        <w:ind w:firstLine="709"/>
        <w:jc w:val="both"/>
        <w:rPr>
          <w:sz w:val="22"/>
          <w:szCs w:val="22"/>
          <w:u w:val="single"/>
          <w:lang w:val="uk-UA"/>
        </w:rPr>
      </w:pPr>
    </w:p>
    <w:p w14:paraId="1C6811E5" w14:textId="3CB172E8" w:rsidR="00752554" w:rsidRPr="000E05A8" w:rsidRDefault="00752554" w:rsidP="00794809">
      <w:pPr>
        <w:widowControl w:val="0"/>
        <w:tabs>
          <w:tab w:val="left" w:pos="942"/>
        </w:tabs>
        <w:ind w:firstLine="709"/>
        <w:jc w:val="both"/>
        <w:rPr>
          <w:sz w:val="22"/>
          <w:szCs w:val="22"/>
          <w:lang w:val="uk-UA"/>
        </w:rPr>
      </w:pPr>
      <w:r w:rsidRPr="000E05A8">
        <w:rPr>
          <w:sz w:val="22"/>
          <w:szCs w:val="22"/>
          <w:lang w:val="uk-UA"/>
        </w:rPr>
        <w:t xml:space="preserve">За період </w:t>
      </w:r>
      <w:r w:rsidR="00FA2CA5" w:rsidRPr="000E05A8">
        <w:rPr>
          <w:sz w:val="22"/>
          <w:szCs w:val="22"/>
          <w:lang w:val="uk-UA"/>
        </w:rPr>
        <w:t xml:space="preserve">з </w:t>
      </w:r>
      <w:r w:rsidR="00972A2C" w:rsidRPr="000E05A8">
        <w:rPr>
          <w:sz w:val="22"/>
          <w:szCs w:val="22"/>
          <w:lang w:val="uk-UA"/>
        </w:rPr>
        <w:t xml:space="preserve">01.01.2021 року по </w:t>
      </w:r>
      <w:r w:rsidR="00980979" w:rsidRPr="000E05A8">
        <w:rPr>
          <w:sz w:val="22"/>
          <w:szCs w:val="22"/>
          <w:lang w:val="uk-UA"/>
        </w:rPr>
        <w:t>31.03.2021</w:t>
      </w:r>
      <w:r w:rsidR="00972A2C" w:rsidRPr="000E05A8">
        <w:rPr>
          <w:sz w:val="22"/>
          <w:szCs w:val="22"/>
          <w:lang w:val="uk-UA"/>
        </w:rPr>
        <w:t xml:space="preserve"> року</w:t>
      </w:r>
      <w:r w:rsidRPr="000E05A8">
        <w:rPr>
          <w:sz w:val="22"/>
          <w:szCs w:val="22"/>
          <w:lang w:val="uk-UA"/>
        </w:rPr>
        <w:t xml:space="preserve"> здійснені наступні операції з пов’язаними особами:</w:t>
      </w:r>
    </w:p>
    <w:p w14:paraId="48998586" w14:textId="5950BB53" w:rsidR="00FE62FA" w:rsidRPr="000E05A8" w:rsidRDefault="00FE62FA" w:rsidP="00794809">
      <w:pPr>
        <w:widowControl w:val="0"/>
        <w:tabs>
          <w:tab w:val="left" w:pos="942"/>
        </w:tabs>
        <w:ind w:firstLine="709"/>
        <w:jc w:val="both"/>
        <w:rPr>
          <w:sz w:val="22"/>
          <w:szCs w:val="22"/>
          <w:lang w:val="uk-UA"/>
        </w:rPr>
      </w:pPr>
      <w:r w:rsidRPr="000E05A8">
        <w:rPr>
          <w:sz w:val="22"/>
          <w:szCs w:val="22"/>
          <w:lang w:val="uk-UA"/>
        </w:rPr>
        <w:t xml:space="preserve">- </w:t>
      </w:r>
      <w:r w:rsidR="00B968B8" w:rsidRPr="000E05A8">
        <w:rPr>
          <w:sz w:val="22"/>
          <w:szCs w:val="22"/>
          <w:lang w:val="uk-UA"/>
        </w:rPr>
        <w:t>надання безвідсоткової позики по Договору № 15-03/21 від 15.03.2021 року  від ТОВ "ЮФ" ЕВРІС" в сумі 50 000,00 грн.</w:t>
      </w:r>
      <w:r w:rsidR="00B4752B" w:rsidRPr="000E05A8">
        <w:rPr>
          <w:sz w:val="22"/>
          <w:szCs w:val="22"/>
          <w:lang w:val="uk-UA"/>
        </w:rPr>
        <w:t>,</w:t>
      </w:r>
    </w:p>
    <w:p w14:paraId="58964D9F" w14:textId="4152106A" w:rsidR="00B4752B" w:rsidRPr="000E05A8" w:rsidRDefault="00B4752B" w:rsidP="00794809">
      <w:pPr>
        <w:widowControl w:val="0"/>
        <w:tabs>
          <w:tab w:val="left" w:pos="942"/>
        </w:tabs>
        <w:ind w:firstLine="709"/>
        <w:jc w:val="both"/>
        <w:rPr>
          <w:sz w:val="22"/>
          <w:szCs w:val="22"/>
          <w:lang w:val="uk-UA"/>
        </w:rPr>
      </w:pPr>
      <w:r w:rsidRPr="000E05A8">
        <w:rPr>
          <w:sz w:val="22"/>
          <w:szCs w:val="22"/>
          <w:lang w:val="uk-UA"/>
        </w:rPr>
        <w:t xml:space="preserve">- </w:t>
      </w:r>
      <w:r w:rsidR="00EB6443" w:rsidRPr="000E05A8">
        <w:rPr>
          <w:sz w:val="22"/>
          <w:szCs w:val="22"/>
          <w:lang w:val="uk-UA"/>
        </w:rPr>
        <w:t xml:space="preserve">оренда </w:t>
      </w:r>
      <w:r w:rsidRPr="000E05A8">
        <w:rPr>
          <w:sz w:val="22"/>
          <w:szCs w:val="22"/>
          <w:lang w:val="uk-UA"/>
        </w:rPr>
        <w:t xml:space="preserve">приміщення Товариством у ТОВ «Юридична фірма «ЕВРІС» на загальну суму </w:t>
      </w:r>
      <w:r w:rsidR="00841838" w:rsidRPr="000E05A8">
        <w:rPr>
          <w:sz w:val="22"/>
          <w:szCs w:val="22"/>
          <w:lang w:val="uk-UA"/>
        </w:rPr>
        <w:t>110 250</w:t>
      </w:r>
      <w:r w:rsidR="00016599" w:rsidRPr="000E05A8">
        <w:rPr>
          <w:sz w:val="22"/>
          <w:szCs w:val="22"/>
          <w:lang w:val="uk-UA"/>
        </w:rPr>
        <w:t xml:space="preserve"> грн.</w:t>
      </w:r>
    </w:p>
    <w:p w14:paraId="48A7ACB0" w14:textId="248CC738" w:rsidR="00752554" w:rsidRPr="000E05A8" w:rsidRDefault="00F86D00" w:rsidP="00F86D00">
      <w:pPr>
        <w:widowControl w:val="0"/>
        <w:tabs>
          <w:tab w:val="left" w:pos="709"/>
        </w:tabs>
        <w:jc w:val="both"/>
        <w:rPr>
          <w:sz w:val="22"/>
          <w:szCs w:val="22"/>
          <w:lang w:val="uk-UA"/>
        </w:rPr>
      </w:pPr>
      <w:r w:rsidRPr="000E05A8">
        <w:rPr>
          <w:sz w:val="22"/>
          <w:szCs w:val="22"/>
          <w:lang w:val="uk-UA"/>
        </w:rPr>
        <w:lastRenderedPageBreak/>
        <w:tab/>
      </w:r>
      <w:r w:rsidR="00016599" w:rsidRPr="000E05A8">
        <w:rPr>
          <w:sz w:val="22"/>
          <w:szCs w:val="22"/>
          <w:lang w:val="uk-UA"/>
        </w:rPr>
        <w:t>Н</w:t>
      </w:r>
      <w:r w:rsidR="00752554" w:rsidRPr="000E05A8">
        <w:rPr>
          <w:sz w:val="22"/>
          <w:szCs w:val="22"/>
          <w:lang w:val="uk-UA"/>
        </w:rPr>
        <w:t>арахування заробітної плати</w:t>
      </w:r>
      <w:r w:rsidR="0002403E" w:rsidRPr="000E05A8">
        <w:rPr>
          <w:sz w:val="22"/>
          <w:szCs w:val="22"/>
          <w:lang w:val="uk-UA"/>
        </w:rPr>
        <w:t xml:space="preserve"> </w:t>
      </w:r>
      <w:r w:rsidR="00477BE9" w:rsidRPr="000E05A8">
        <w:rPr>
          <w:sz w:val="22"/>
          <w:szCs w:val="22"/>
          <w:lang w:val="uk-UA"/>
        </w:rPr>
        <w:t xml:space="preserve">провідному </w:t>
      </w:r>
      <w:r w:rsidR="0002403E" w:rsidRPr="000E05A8">
        <w:rPr>
          <w:sz w:val="22"/>
          <w:szCs w:val="22"/>
          <w:lang w:val="uk-UA"/>
        </w:rPr>
        <w:t>управлін</w:t>
      </w:r>
      <w:r w:rsidR="00477BE9" w:rsidRPr="000E05A8">
        <w:rPr>
          <w:sz w:val="22"/>
          <w:szCs w:val="22"/>
          <w:lang w:val="uk-UA"/>
        </w:rPr>
        <w:t>ському персоналу</w:t>
      </w:r>
      <w:r w:rsidR="00752554" w:rsidRPr="000E05A8">
        <w:rPr>
          <w:sz w:val="22"/>
          <w:szCs w:val="22"/>
          <w:lang w:val="uk-UA"/>
        </w:rPr>
        <w:t xml:space="preserve"> </w:t>
      </w:r>
      <w:r w:rsidR="00143635" w:rsidRPr="000E05A8">
        <w:rPr>
          <w:sz w:val="22"/>
          <w:szCs w:val="22"/>
          <w:lang w:val="uk-UA"/>
        </w:rPr>
        <w:t>складають</w:t>
      </w:r>
      <w:r w:rsidR="00473F76" w:rsidRPr="000E05A8">
        <w:rPr>
          <w:sz w:val="22"/>
          <w:szCs w:val="22"/>
          <w:lang w:val="uk-UA"/>
        </w:rPr>
        <w:t xml:space="preserve"> </w:t>
      </w:r>
      <w:r w:rsidR="002644CF" w:rsidRPr="000E05A8">
        <w:rPr>
          <w:sz w:val="22"/>
          <w:szCs w:val="22"/>
          <w:lang w:val="uk-UA"/>
        </w:rPr>
        <w:t>69</w:t>
      </w:r>
      <w:r w:rsidR="004B797D" w:rsidRPr="000E05A8">
        <w:rPr>
          <w:sz w:val="22"/>
          <w:szCs w:val="22"/>
          <w:lang w:val="uk-UA"/>
        </w:rPr>
        <w:t> 167,98</w:t>
      </w:r>
      <w:r w:rsidR="00031119" w:rsidRPr="000E05A8">
        <w:rPr>
          <w:sz w:val="22"/>
          <w:szCs w:val="22"/>
          <w:lang w:val="uk-UA"/>
        </w:rPr>
        <w:t xml:space="preserve"> грн.</w:t>
      </w:r>
      <w:r w:rsidR="00473F76" w:rsidRPr="000E05A8">
        <w:rPr>
          <w:sz w:val="22"/>
          <w:szCs w:val="22"/>
          <w:lang w:val="uk-UA"/>
        </w:rPr>
        <w:t xml:space="preserve">, у тому числі </w:t>
      </w:r>
      <w:r w:rsidR="00C34E1F" w:rsidRPr="000E05A8">
        <w:rPr>
          <w:sz w:val="22"/>
          <w:szCs w:val="22"/>
          <w:lang w:val="uk-UA"/>
        </w:rPr>
        <w:t>директору</w:t>
      </w:r>
      <w:r w:rsidR="00473F76" w:rsidRPr="000E05A8">
        <w:rPr>
          <w:sz w:val="22"/>
          <w:szCs w:val="22"/>
          <w:lang w:val="uk-UA"/>
        </w:rPr>
        <w:t xml:space="preserve"> </w:t>
      </w:r>
      <w:r w:rsidR="00D86FEE" w:rsidRPr="000E05A8">
        <w:rPr>
          <w:sz w:val="22"/>
          <w:szCs w:val="22"/>
          <w:lang w:val="uk-UA"/>
        </w:rPr>
        <w:t xml:space="preserve">Товариства </w:t>
      </w:r>
      <w:r w:rsidR="00752554" w:rsidRPr="000E05A8">
        <w:rPr>
          <w:sz w:val="22"/>
          <w:szCs w:val="22"/>
          <w:lang w:val="uk-UA"/>
        </w:rPr>
        <w:t>у розмірі</w:t>
      </w:r>
      <w:r w:rsidR="005D0B24" w:rsidRPr="000E05A8">
        <w:rPr>
          <w:sz w:val="22"/>
          <w:szCs w:val="22"/>
          <w:lang w:val="uk-UA"/>
        </w:rPr>
        <w:t xml:space="preserve"> </w:t>
      </w:r>
      <w:r w:rsidR="004B797D" w:rsidRPr="000E05A8">
        <w:rPr>
          <w:sz w:val="22"/>
          <w:szCs w:val="22"/>
          <w:lang w:val="uk-UA"/>
        </w:rPr>
        <w:t>27 000,00</w:t>
      </w:r>
      <w:r w:rsidR="00752554" w:rsidRPr="000E05A8">
        <w:rPr>
          <w:sz w:val="22"/>
          <w:szCs w:val="22"/>
          <w:lang w:val="uk-UA"/>
        </w:rPr>
        <w:t xml:space="preserve"> грн. </w:t>
      </w:r>
    </w:p>
    <w:p w14:paraId="6398B3D4" w14:textId="77777777" w:rsidR="00752554" w:rsidRPr="000E05A8" w:rsidRDefault="00752554" w:rsidP="00794809">
      <w:pPr>
        <w:shd w:val="clear" w:color="auto" w:fill="FFFFFF"/>
        <w:autoSpaceDE w:val="0"/>
        <w:autoSpaceDN w:val="0"/>
        <w:adjustRightInd w:val="0"/>
        <w:ind w:firstLine="709"/>
        <w:jc w:val="both"/>
        <w:rPr>
          <w:sz w:val="22"/>
          <w:szCs w:val="22"/>
          <w:lang w:val="uk-UA"/>
        </w:rPr>
      </w:pPr>
      <w:r w:rsidRPr="000E05A8">
        <w:rPr>
          <w:sz w:val="22"/>
          <w:szCs w:val="22"/>
          <w:lang w:val="uk-UA"/>
        </w:rPr>
        <w:t>Інших операцій з пов’язаними особами не було.</w:t>
      </w:r>
    </w:p>
    <w:p w14:paraId="7437A853" w14:textId="77777777" w:rsidR="00752554" w:rsidRPr="000E05A8" w:rsidRDefault="00752554" w:rsidP="00794809">
      <w:pPr>
        <w:ind w:firstLine="709"/>
        <w:jc w:val="both"/>
        <w:rPr>
          <w:sz w:val="22"/>
          <w:szCs w:val="22"/>
          <w:lang w:val="uk-UA"/>
        </w:rPr>
      </w:pPr>
      <w:r w:rsidRPr="000E05A8">
        <w:rPr>
          <w:sz w:val="22"/>
          <w:szCs w:val="22"/>
          <w:lang w:val="uk-UA"/>
        </w:rPr>
        <w:t>Усі операції з пов’язаними сторонами здійснені без шкоди для фінансового стану Товариства.</w:t>
      </w:r>
    </w:p>
    <w:p w14:paraId="67711B4A" w14:textId="77777777" w:rsidR="00B7783C" w:rsidRPr="000E05A8" w:rsidRDefault="00B7783C" w:rsidP="00794809">
      <w:pPr>
        <w:shd w:val="clear" w:color="auto" w:fill="FFFFFF"/>
        <w:ind w:firstLine="709"/>
        <w:jc w:val="both"/>
        <w:rPr>
          <w:b/>
          <w:bCs/>
          <w:i/>
          <w:spacing w:val="-2"/>
          <w:sz w:val="22"/>
          <w:szCs w:val="22"/>
          <w:lang w:val="uk-UA"/>
        </w:rPr>
      </w:pPr>
    </w:p>
    <w:p w14:paraId="7930C770" w14:textId="77777777" w:rsidR="00752554" w:rsidRPr="000E05A8" w:rsidRDefault="00752554" w:rsidP="00794809">
      <w:pPr>
        <w:shd w:val="clear" w:color="auto" w:fill="FFFFFF"/>
        <w:ind w:firstLine="709"/>
        <w:jc w:val="both"/>
        <w:rPr>
          <w:b/>
          <w:bCs/>
          <w:i/>
          <w:spacing w:val="-2"/>
          <w:sz w:val="22"/>
          <w:szCs w:val="22"/>
          <w:lang w:val="uk-UA"/>
        </w:rPr>
      </w:pPr>
      <w:r w:rsidRPr="000E05A8">
        <w:rPr>
          <w:b/>
          <w:bCs/>
          <w:i/>
          <w:spacing w:val="-2"/>
          <w:sz w:val="22"/>
          <w:szCs w:val="22"/>
          <w:lang w:val="uk-UA"/>
        </w:rPr>
        <w:t>7.3. Цілі  та політики управління фінансовими ризиками</w:t>
      </w:r>
    </w:p>
    <w:p w14:paraId="5F60008F" w14:textId="77777777" w:rsidR="00752554" w:rsidRPr="000E05A8" w:rsidRDefault="00752554" w:rsidP="00794809">
      <w:pPr>
        <w:ind w:firstLine="709"/>
        <w:jc w:val="both"/>
        <w:rPr>
          <w:sz w:val="22"/>
          <w:szCs w:val="22"/>
          <w:lang w:val="uk-UA"/>
        </w:rPr>
      </w:pPr>
      <w:r w:rsidRPr="000E05A8">
        <w:rPr>
          <w:sz w:val="22"/>
          <w:szCs w:val="22"/>
          <w:lang w:val="uk-UA"/>
        </w:rPr>
        <w:t>Товариство усвідомлює, що інвестиційна діяльність пов’язана з ризиками і вартість чистих активів у мінливому ринковому середовищі може суттєво змінитись унаслідок впливу суб’єктивних та об’єктивних чинників, вірогідність і напрям впливу яких заздалегідь точно передбачити неможливо. До таких ризиків віднесено кредитний, ринковий та ризик ліквідності. Ринковий ризик включає валютний ризик, відсотковий та інший ціновий ризик.</w:t>
      </w:r>
    </w:p>
    <w:p w14:paraId="010244F2" w14:textId="77777777" w:rsidR="00752554" w:rsidRPr="000E05A8" w:rsidRDefault="00752554" w:rsidP="00794809">
      <w:pPr>
        <w:ind w:firstLine="709"/>
        <w:jc w:val="both"/>
        <w:rPr>
          <w:sz w:val="22"/>
          <w:szCs w:val="22"/>
          <w:lang w:val="uk-UA"/>
        </w:rPr>
      </w:pPr>
      <w:r w:rsidRPr="000E05A8">
        <w:rPr>
          <w:sz w:val="22"/>
          <w:szCs w:val="22"/>
          <w:lang w:val="uk-UA"/>
        </w:rPr>
        <w:t>Управління ризиками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4F1BA6F8" w14:textId="597E8765" w:rsidR="00752554" w:rsidRPr="000E05A8" w:rsidRDefault="00752554" w:rsidP="00794809">
      <w:pPr>
        <w:ind w:firstLine="709"/>
        <w:jc w:val="both"/>
        <w:rPr>
          <w:sz w:val="22"/>
          <w:szCs w:val="22"/>
          <w:lang w:val="uk-UA"/>
        </w:rPr>
      </w:pPr>
      <w:r w:rsidRPr="000E05A8">
        <w:rPr>
          <w:sz w:val="22"/>
          <w:szCs w:val="22"/>
          <w:lang w:val="uk-UA"/>
        </w:rPr>
        <w:t>Враховуючи, що до складу Товариства входять фінансов</w:t>
      </w:r>
      <w:r w:rsidR="00EB2861" w:rsidRPr="000E05A8">
        <w:rPr>
          <w:sz w:val="22"/>
          <w:szCs w:val="22"/>
          <w:lang w:val="uk-UA"/>
        </w:rPr>
        <w:t>і</w:t>
      </w:r>
      <w:r w:rsidRPr="000E05A8">
        <w:rPr>
          <w:sz w:val="22"/>
          <w:szCs w:val="22"/>
          <w:lang w:val="uk-UA"/>
        </w:rPr>
        <w:t xml:space="preserve"> активи, що оцінюються за справедливою вартістю через прибуток або збиток (О</w:t>
      </w:r>
      <w:r w:rsidR="002B0B68" w:rsidRPr="000E05A8">
        <w:rPr>
          <w:sz w:val="22"/>
          <w:szCs w:val="22"/>
          <w:lang w:val="uk-UA"/>
        </w:rPr>
        <w:t>З</w:t>
      </w:r>
      <w:r w:rsidRPr="000E05A8">
        <w:rPr>
          <w:sz w:val="22"/>
          <w:szCs w:val="22"/>
          <w:lang w:val="uk-UA"/>
        </w:rPr>
        <w:t>ДП</w:t>
      </w:r>
      <w:r w:rsidR="00173CB4" w:rsidRPr="000E05A8">
        <w:rPr>
          <w:sz w:val="22"/>
          <w:szCs w:val="22"/>
          <w:lang w:val="uk-UA"/>
        </w:rPr>
        <w:t xml:space="preserve"> та грошові кошти на поточному рахунку</w:t>
      </w:r>
      <w:r w:rsidRPr="000E05A8">
        <w:rPr>
          <w:sz w:val="22"/>
          <w:szCs w:val="22"/>
          <w:lang w:val="uk-UA"/>
        </w:rPr>
        <w:t>), суттєвими є кредитний та ринковий ризик.</w:t>
      </w:r>
    </w:p>
    <w:p w14:paraId="07C9F772" w14:textId="77777777" w:rsidR="005210AF" w:rsidRPr="000E05A8" w:rsidRDefault="005210AF" w:rsidP="00794809">
      <w:pPr>
        <w:ind w:firstLine="709"/>
        <w:jc w:val="both"/>
        <w:rPr>
          <w:b/>
          <w:bCs/>
          <w:spacing w:val="-6"/>
          <w:sz w:val="22"/>
          <w:szCs w:val="22"/>
          <w:lang w:val="uk-UA"/>
        </w:rPr>
      </w:pPr>
    </w:p>
    <w:p w14:paraId="4978964E" w14:textId="77777777" w:rsidR="00BC38D1" w:rsidRPr="000E05A8" w:rsidRDefault="00752554" w:rsidP="00794809">
      <w:pPr>
        <w:ind w:firstLine="709"/>
        <w:jc w:val="both"/>
        <w:rPr>
          <w:b/>
          <w:bCs/>
          <w:spacing w:val="-6"/>
          <w:sz w:val="22"/>
          <w:szCs w:val="22"/>
          <w:lang w:val="uk-UA"/>
        </w:rPr>
      </w:pPr>
      <w:r w:rsidRPr="000E05A8">
        <w:rPr>
          <w:b/>
          <w:bCs/>
          <w:spacing w:val="-6"/>
          <w:sz w:val="22"/>
          <w:szCs w:val="22"/>
          <w:lang w:val="uk-UA"/>
        </w:rPr>
        <w:t>Кредитний</w:t>
      </w:r>
      <w:r w:rsidR="00715546" w:rsidRPr="000E05A8">
        <w:rPr>
          <w:b/>
          <w:bCs/>
          <w:spacing w:val="-6"/>
          <w:sz w:val="22"/>
          <w:szCs w:val="22"/>
          <w:lang w:val="uk-UA"/>
        </w:rPr>
        <w:t xml:space="preserve"> </w:t>
      </w:r>
      <w:r w:rsidRPr="000E05A8">
        <w:rPr>
          <w:b/>
          <w:bCs/>
          <w:spacing w:val="-6"/>
          <w:sz w:val="22"/>
          <w:szCs w:val="22"/>
          <w:lang w:val="uk-UA"/>
        </w:rPr>
        <w:t>ризик</w:t>
      </w:r>
    </w:p>
    <w:p w14:paraId="322B04E1" w14:textId="278E70F8" w:rsidR="00752554" w:rsidRPr="000E05A8" w:rsidRDefault="00752554" w:rsidP="00794809">
      <w:pPr>
        <w:ind w:firstLine="709"/>
        <w:jc w:val="both"/>
        <w:rPr>
          <w:color w:val="FF0000"/>
          <w:sz w:val="22"/>
          <w:szCs w:val="22"/>
          <w:lang w:val="uk-UA"/>
        </w:rPr>
      </w:pPr>
      <w:r w:rsidRPr="000E05A8">
        <w:rPr>
          <w:sz w:val="22"/>
          <w:szCs w:val="22"/>
          <w:lang w:val="uk-UA"/>
        </w:rPr>
        <w:t>–</w:t>
      </w:r>
      <w:r w:rsidRPr="000E05A8">
        <w:rPr>
          <w:spacing w:val="-6"/>
          <w:sz w:val="22"/>
          <w:szCs w:val="22"/>
          <w:lang w:val="uk-UA"/>
        </w:rPr>
        <w:t>ризик</w:t>
      </w:r>
      <w:r w:rsidR="00BC38D1" w:rsidRPr="000E05A8">
        <w:rPr>
          <w:spacing w:val="-6"/>
          <w:sz w:val="22"/>
          <w:szCs w:val="22"/>
          <w:lang w:val="uk-UA"/>
        </w:rPr>
        <w:t xml:space="preserve"> </w:t>
      </w:r>
      <w:r w:rsidRPr="000E05A8">
        <w:rPr>
          <w:spacing w:val="-8"/>
          <w:sz w:val="22"/>
          <w:szCs w:val="22"/>
          <w:lang w:val="uk-UA"/>
        </w:rPr>
        <w:t>того,</w:t>
      </w:r>
      <w:r w:rsidR="00BC38D1" w:rsidRPr="000E05A8">
        <w:rPr>
          <w:spacing w:val="-8"/>
          <w:sz w:val="22"/>
          <w:szCs w:val="22"/>
          <w:lang w:val="uk-UA"/>
        </w:rPr>
        <w:t xml:space="preserve"> </w:t>
      </w:r>
      <w:r w:rsidRPr="000E05A8">
        <w:rPr>
          <w:spacing w:val="-4"/>
          <w:sz w:val="22"/>
          <w:szCs w:val="22"/>
          <w:lang w:val="uk-UA"/>
        </w:rPr>
        <w:t>що</w:t>
      </w:r>
      <w:r w:rsidR="00D964F3" w:rsidRPr="000E05A8">
        <w:rPr>
          <w:spacing w:val="-4"/>
          <w:sz w:val="22"/>
          <w:szCs w:val="22"/>
          <w:lang w:val="uk-UA"/>
        </w:rPr>
        <w:t xml:space="preserve"> </w:t>
      </w:r>
      <w:r w:rsidRPr="000E05A8">
        <w:rPr>
          <w:spacing w:val="-8"/>
          <w:sz w:val="22"/>
          <w:szCs w:val="22"/>
          <w:lang w:val="uk-UA"/>
        </w:rPr>
        <w:t>одна</w:t>
      </w:r>
      <w:r w:rsidR="00D964F3" w:rsidRPr="000E05A8">
        <w:rPr>
          <w:spacing w:val="-8"/>
          <w:sz w:val="22"/>
          <w:szCs w:val="22"/>
          <w:lang w:val="uk-UA"/>
        </w:rPr>
        <w:t xml:space="preserve"> </w:t>
      </w:r>
      <w:r w:rsidRPr="000E05A8">
        <w:rPr>
          <w:spacing w:val="-6"/>
          <w:sz w:val="22"/>
          <w:szCs w:val="22"/>
          <w:lang w:val="uk-UA"/>
        </w:rPr>
        <w:t>сторона</w:t>
      </w:r>
      <w:r w:rsidR="00D964F3" w:rsidRPr="000E05A8">
        <w:rPr>
          <w:spacing w:val="-6"/>
          <w:sz w:val="22"/>
          <w:szCs w:val="22"/>
          <w:lang w:val="uk-UA"/>
        </w:rPr>
        <w:t xml:space="preserve"> </w:t>
      </w:r>
      <w:r w:rsidRPr="000E05A8">
        <w:rPr>
          <w:spacing w:val="-8"/>
          <w:sz w:val="22"/>
          <w:szCs w:val="22"/>
          <w:lang w:val="uk-UA"/>
        </w:rPr>
        <w:t>контракту</w:t>
      </w:r>
      <w:r w:rsidR="00D964F3" w:rsidRPr="000E05A8">
        <w:rPr>
          <w:spacing w:val="-8"/>
          <w:sz w:val="22"/>
          <w:szCs w:val="22"/>
          <w:lang w:val="uk-UA"/>
        </w:rPr>
        <w:t xml:space="preserve"> </w:t>
      </w:r>
      <w:r w:rsidRPr="000E05A8">
        <w:rPr>
          <w:spacing w:val="-6"/>
          <w:sz w:val="22"/>
          <w:szCs w:val="22"/>
          <w:lang w:val="uk-UA"/>
        </w:rPr>
        <w:t>про</w:t>
      </w:r>
      <w:r w:rsidR="00D964F3" w:rsidRPr="000E05A8">
        <w:rPr>
          <w:spacing w:val="-6"/>
          <w:sz w:val="22"/>
          <w:szCs w:val="22"/>
          <w:lang w:val="uk-UA"/>
        </w:rPr>
        <w:t xml:space="preserve"> </w:t>
      </w:r>
      <w:r w:rsidRPr="000E05A8">
        <w:rPr>
          <w:spacing w:val="-6"/>
          <w:sz w:val="22"/>
          <w:szCs w:val="22"/>
          <w:lang w:val="uk-UA"/>
        </w:rPr>
        <w:t>фінансовий</w:t>
      </w:r>
      <w:r w:rsidR="00D964F3" w:rsidRPr="000E05A8">
        <w:rPr>
          <w:spacing w:val="-6"/>
          <w:sz w:val="22"/>
          <w:szCs w:val="22"/>
          <w:lang w:val="uk-UA"/>
        </w:rPr>
        <w:t xml:space="preserve"> </w:t>
      </w:r>
      <w:r w:rsidRPr="000E05A8">
        <w:rPr>
          <w:spacing w:val="-6"/>
          <w:sz w:val="22"/>
          <w:szCs w:val="22"/>
          <w:lang w:val="uk-UA"/>
        </w:rPr>
        <w:t>інструмент</w:t>
      </w:r>
      <w:r w:rsidR="00D964F3" w:rsidRPr="000E05A8">
        <w:rPr>
          <w:spacing w:val="-6"/>
          <w:sz w:val="22"/>
          <w:szCs w:val="22"/>
          <w:lang w:val="uk-UA"/>
        </w:rPr>
        <w:t xml:space="preserve"> </w:t>
      </w:r>
      <w:r w:rsidRPr="000E05A8">
        <w:rPr>
          <w:spacing w:val="-4"/>
          <w:sz w:val="22"/>
          <w:szCs w:val="22"/>
          <w:lang w:val="uk-UA"/>
        </w:rPr>
        <w:t>не</w:t>
      </w:r>
      <w:r w:rsidR="00D964F3" w:rsidRPr="000E05A8">
        <w:rPr>
          <w:spacing w:val="-4"/>
          <w:sz w:val="22"/>
          <w:szCs w:val="22"/>
          <w:lang w:val="uk-UA"/>
        </w:rPr>
        <w:t xml:space="preserve"> </w:t>
      </w:r>
      <w:r w:rsidRPr="000E05A8">
        <w:rPr>
          <w:spacing w:val="-8"/>
          <w:sz w:val="22"/>
          <w:szCs w:val="22"/>
          <w:lang w:val="uk-UA"/>
        </w:rPr>
        <w:t>зможе</w:t>
      </w:r>
      <w:r w:rsidR="00D964F3" w:rsidRPr="000E05A8">
        <w:rPr>
          <w:spacing w:val="-8"/>
          <w:sz w:val="22"/>
          <w:szCs w:val="22"/>
          <w:lang w:val="uk-UA"/>
        </w:rPr>
        <w:t xml:space="preserve"> </w:t>
      </w:r>
      <w:r w:rsidRPr="000E05A8">
        <w:rPr>
          <w:spacing w:val="-8"/>
          <w:sz w:val="22"/>
          <w:szCs w:val="22"/>
          <w:lang w:val="uk-UA"/>
        </w:rPr>
        <w:t>виконати</w:t>
      </w:r>
      <w:r w:rsidR="00D964F3" w:rsidRPr="000E05A8">
        <w:rPr>
          <w:spacing w:val="-8"/>
          <w:sz w:val="22"/>
          <w:szCs w:val="22"/>
          <w:lang w:val="uk-UA"/>
        </w:rPr>
        <w:t xml:space="preserve"> </w:t>
      </w:r>
      <w:r w:rsidRPr="000E05A8">
        <w:rPr>
          <w:spacing w:val="-6"/>
          <w:sz w:val="22"/>
          <w:szCs w:val="22"/>
          <w:lang w:val="uk-UA"/>
        </w:rPr>
        <w:t>зобов’язання</w:t>
      </w:r>
      <w:r w:rsidR="00D964F3" w:rsidRPr="000E05A8">
        <w:rPr>
          <w:spacing w:val="-6"/>
          <w:sz w:val="22"/>
          <w:szCs w:val="22"/>
          <w:lang w:val="uk-UA"/>
        </w:rPr>
        <w:t xml:space="preserve"> </w:t>
      </w:r>
      <w:r w:rsidRPr="000E05A8">
        <w:rPr>
          <w:sz w:val="22"/>
          <w:szCs w:val="22"/>
          <w:lang w:val="uk-UA"/>
        </w:rPr>
        <w:t>і</w:t>
      </w:r>
      <w:r w:rsidR="00D964F3" w:rsidRPr="000E05A8">
        <w:rPr>
          <w:sz w:val="22"/>
          <w:szCs w:val="22"/>
          <w:lang w:val="uk-UA"/>
        </w:rPr>
        <w:t xml:space="preserve"> </w:t>
      </w:r>
      <w:r w:rsidRPr="000E05A8">
        <w:rPr>
          <w:spacing w:val="-4"/>
          <w:sz w:val="22"/>
          <w:szCs w:val="22"/>
          <w:lang w:val="uk-UA"/>
        </w:rPr>
        <w:t>це</w:t>
      </w:r>
      <w:r w:rsidR="00D964F3" w:rsidRPr="000E05A8">
        <w:rPr>
          <w:spacing w:val="-4"/>
          <w:sz w:val="22"/>
          <w:szCs w:val="22"/>
          <w:lang w:val="uk-UA"/>
        </w:rPr>
        <w:t xml:space="preserve"> </w:t>
      </w:r>
      <w:r w:rsidRPr="000E05A8">
        <w:rPr>
          <w:spacing w:val="-12"/>
          <w:sz w:val="22"/>
          <w:szCs w:val="22"/>
          <w:lang w:val="uk-UA"/>
        </w:rPr>
        <w:t>буде</w:t>
      </w:r>
      <w:r w:rsidR="00D964F3" w:rsidRPr="000E05A8">
        <w:rPr>
          <w:spacing w:val="-12"/>
          <w:sz w:val="22"/>
          <w:szCs w:val="22"/>
          <w:lang w:val="uk-UA"/>
        </w:rPr>
        <w:t xml:space="preserve"> </w:t>
      </w:r>
      <w:r w:rsidRPr="000E05A8">
        <w:rPr>
          <w:spacing w:val="-6"/>
          <w:sz w:val="22"/>
          <w:szCs w:val="22"/>
          <w:lang w:val="uk-UA"/>
        </w:rPr>
        <w:t>причиною</w:t>
      </w:r>
      <w:r w:rsidR="00D964F3" w:rsidRPr="000E05A8">
        <w:rPr>
          <w:spacing w:val="-6"/>
          <w:sz w:val="22"/>
          <w:szCs w:val="22"/>
          <w:lang w:val="uk-UA"/>
        </w:rPr>
        <w:t xml:space="preserve"> </w:t>
      </w:r>
      <w:r w:rsidRPr="000E05A8">
        <w:rPr>
          <w:spacing w:val="-6"/>
          <w:sz w:val="22"/>
          <w:szCs w:val="22"/>
          <w:lang w:val="uk-UA"/>
        </w:rPr>
        <w:t>виникнення</w:t>
      </w:r>
      <w:r w:rsidR="00D964F3" w:rsidRPr="000E05A8">
        <w:rPr>
          <w:spacing w:val="-6"/>
          <w:sz w:val="22"/>
          <w:szCs w:val="22"/>
          <w:lang w:val="uk-UA"/>
        </w:rPr>
        <w:t xml:space="preserve"> </w:t>
      </w:r>
      <w:r w:rsidRPr="000E05A8">
        <w:rPr>
          <w:spacing w:val="-8"/>
          <w:sz w:val="22"/>
          <w:szCs w:val="22"/>
          <w:lang w:val="uk-UA"/>
        </w:rPr>
        <w:t>фінансового</w:t>
      </w:r>
      <w:r w:rsidR="00D964F3" w:rsidRPr="000E05A8">
        <w:rPr>
          <w:spacing w:val="-8"/>
          <w:sz w:val="22"/>
          <w:szCs w:val="22"/>
          <w:lang w:val="uk-UA"/>
        </w:rPr>
        <w:t xml:space="preserve"> </w:t>
      </w:r>
      <w:r w:rsidRPr="000E05A8">
        <w:rPr>
          <w:spacing w:val="-6"/>
          <w:sz w:val="22"/>
          <w:szCs w:val="22"/>
          <w:lang w:val="uk-UA"/>
        </w:rPr>
        <w:t>збитку</w:t>
      </w:r>
      <w:r w:rsidR="00D964F3" w:rsidRPr="000E05A8">
        <w:rPr>
          <w:spacing w:val="-6"/>
          <w:sz w:val="22"/>
          <w:szCs w:val="22"/>
          <w:lang w:val="uk-UA"/>
        </w:rPr>
        <w:t xml:space="preserve"> </w:t>
      </w:r>
      <w:r w:rsidRPr="000E05A8">
        <w:rPr>
          <w:spacing w:val="-6"/>
          <w:sz w:val="22"/>
          <w:szCs w:val="22"/>
          <w:lang w:val="uk-UA"/>
        </w:rPr>
        <w:t>іншої</w:t>
      </w:r>
      <w:r w:rsidR="00D964F3" w:rsidRPr="000E05A8">
        <w:rPr>
          <w:spacing w:val="-6"/>
          <w:sz w:val="22"/>
          <w:szCs w:val="22"/>
          <w:lang w:val="uk-UA"/>
        </w:rPr>
        <w:t xml:space="preserve"> </w:t>
      </w:r>
      <w:r w:rsidRPr="000E05A8">
        <w:rPr>
          <w:spacing w:val="-6"/>
          <w:sz w:val="22"/>
          <w:szCs w:val="22"/>
          <w:lang w:val="uk-UA"/>
        </w:rPr>
        <w:t>сторони.</w:t>
      </w:r>
      <w:r w:rsidR="00D964F3" w:rsidRPr="000E05A8">
        <w:rPr>
          <w:spacing w:val="-6"/>
          <w:sz w:val="22"/>
          <w:szCs w:val="22"/>
          <w:lang w:val="uk-UA"/>
        </w:rPr>
        <w:t xml:space="preserve"> </w:t>
      </w:r>
      <w:r w:rsidRPr="000E05A8">
        <w:rPr>
          <w:spacing w:val="-6"/>
          <w:sz w:val="22"/>
          <w:szCs w:val="22"/>
          <w:lang w:val="uk-UA"/>
        </w:rPr>
        <w:t>Кредитний</w:t>
      </w:r>
      <w:r w:rsidR="00D964F3" w:rsidRPr="000E05A8">
        <w:rPr>
          <w:spacing w:val="-6"/>
          <w:sz w:val="22"/>
          <w:szCs w:val="22"/>
          <w:lang w:val="uk-UA"/>
        </w:rPr>
        <w:t xml:space="preserve"> </w:t>
      </w:r>
      <w:r w:rsidRPr="000E05A8">
        <w:rPr>
          <w:spacing w:val="-6"/>
          <w:sz w:val="22"/>
          <w:szCs w:val="22"/>
          <w:lang w:val="uk-UA"/>
        </w:rPr>
        <w:t>ризик</w:t>
      </w:r>
      <w:r w:rsidR="00D964F3" w:rsidRPr="000E05A8">
        <w:rPr>
          <w:spacing w:val="-6"/>
          <w:sz w:val="22"/>
          <w:szCs w:val="22"/>
          <w:lang w:val="uk-UA"/>
        </w:rPr>
        <w:t xml:space="preserve"> </w:t>
      </w:r>
      <w:r w:rsidRPr="000E05A8">
        <w:rPr>
          <w:spacing w:val="-6"/>
          <w:sz w:val="22"/>
          <w:szCs w:val="22"/>
          <w:lang w:val="uk-UA"/>
        </w:rPr>
        <w:t>притаманний</w:t>
      </w:r>
      <w:r w:rsidR="00D964F3" w:rsidRPr="000E05A8">
        <w:rPr>
          <w:spacing w:val="-6"/>
          <w:sz w:val="22"/>
          <w:szCs w:val="22"/>
          <w:lang w:val="uk-UA"/>
        </w:rPr>
        <w:t xml:space="preserve"> </w:t>
      </w:r>
      <w:r w:rsidRPr="000E05A8">
        <w:rPr>
          <w:spacing w:val="-6"/>
          <w:sz w:val="22"/>
          <w:szCs w:val="22"/>
          <w:lang w:val="uk-UA"/>
        </w:rPr>
        <w:t>таким</w:t>
      </w:r>
      <w:r w:rsidR="00D964F3" w:rsidRPr="000E05A8">
        <w:rPr>
          <w:spacing w:val="-6"/>
          <w:sz w:val="22"/>
          <w:szCs w:val="22"/>
          <w:lang w:val="uk-UA"/>
        </w:rPr>
        <w:t xml:space="preserve"> </w:t>
      </w:r>
      <w:r w:rsidRPr="000E05A8">
        <w:rPr>
          <w:spacing w:val="-6"/>
          <w:sz w:val="22"/>
          <w:szCs w:val="22"/>
          <w:lang w:val="uk-UA"/>
        </w:rPr>
        <w:t>фінансовим</w:t>
      </w:r>
      <w:r w:rsidR="00D964F3" w:rsidRPr="000E05A8">
        <w:rPr>
          <w:spacing w:val="-6"/>
          <w:sz w:val="22"/>
          <w:szCs w:val="22"/>
          <w:lang w:val="uk-UA"/>
        </w:rPr>
        <w:t xml:space="preserve"> </w:t>
      </w:r>
      <w:r w:rsidRPr="000E05A8">
        <w:rPr>
          <w:spacing w:val="-6"/>
          <w:sz w:val="22"/>
          <w:szCs w:val="22"/>
          <w:lang w:val="uk-UA"/>
        </w:rPr>
        <w:t>інструментам,</w:t>
      </w:r>
      <w:r w:rsidR="00D964F3" w:rsidRPr="000E05A8">
        <w:rPr>
          <w:spacing w:val="-6"/>
          <w:sz w:val="22"/>
          <w:szCs w:val="22"/>
          <w:lang w:val="uk-UA"/>
        </w:rPr>
        <w:t xml:space="preserve"> </w:t>
      </w:r>
      <w:r w:rsidRPr="000E05A8">
        <w:rPr>
          <w:spacing w:val="-4"/>
          <w:sz w:val="22"/>
          <w:szCs w:val="22"/>
          <w:lang w:val="uk-UA"/>
        </w:rPr>
        <w:t>як</w:t>
      </w:r>
      <w:r w:rsidR="00D964F3" w:rsidRPr="000E05A8">
        <w:rPr>
          <w:spacing w:val="-4"/>
          <w:sz w:val="22"/>
          <w:szCs w:val="22"/>
          <w:lang w:val="uk-UA"/>
        </w:rPr>
        <w:t xml:space="preserve"> </w:t>
      </w:r>
      <w:r w:rsidRPr="000E05A8">
        <w:rPr>
          <w:spacing w:val="-8"/>
          <w:sz w:val="22"/>
          <w:szCs w:val="22"/>
          <w:lang w:val="uk-UA"/>
        </w:rPr>
        <w:t>поточні</w:t>
      </w:r>
      <w:r w:rsidR="004B662D" w:rsidRPr="000E05A8">
        <w:rPr>
          <w:spacing w:val="-8"/>
          <w:sz w:val="22"/>
          <w:szCs w:val="22"/>
          <w:lang w:val="uk-UA"/>
        </w:rPr>
        <w:t xml:space="preserve"> рахунки</w:t>
      </w:r>
      <w:r w:rsidR="00D964F3" w:rsidRPr="000E05A8">
        <w:rPr>
          <w:spacing w:val="-8"/>
          <w:sz w:val="22"/>
          <w:szCs w:val="22"/>
          <w:lang w:val="uk-UA"/>
        </w:rPr>
        <w:t xml:space="preserve"> </w:t>
      </w:r>
      <w:r w:rsidRPr="000E05A8">
        <w:rPr>
          <w:sz w:val="22"/>
          <w:szCs w:val="22"/>
          <w:lang w:val="uk-UA"/>
        </w:rPr>
        <w:t>в</w:t>
      </w:r>
      <w:r w:rsidR="00D964F3" w:rsidRPr="000E05A8">
        <w:rPr>
          <w:sz w:val="22"/>
          <w:szCs w:val="22"/>
          <w:lang w:val="uk-UA"/>
        </w:rPr>
        <w:t xml:space="preserve"> </w:t>
      </w:r>
      <w:r w:rsidRPr="000E05A8">
        <w:rPr>
          <w:spacing w:val="-6"/>
          <w:sz w:val="22"/>
          <w:szCs w:val="22"/>
          <w:lang w:val="uk-UA"/>
        </w:rPr>
        <w:t>банках,</w:t>
      </w:r>
      <w:r w:rsidR="00D964F3" w:rsidRPr="000E05A8">
        <w:rPr>
          <w:spacing w:val="-6"/>
          <w:sz w:val="22"/>
          <w:szCs w:val="22"/>
          <w:lang w:val="uk-UA"/>
        </w:rPr>
        <w:t xml:space="preserve"> </w:t>
      </w:r>
      <w:r w:rsidRPr="000E05A8">
        <w:rPr>
          <w:spacing w:val="-8"/>
          <w:sz w:val="22"/>
          <w:szCs w:val="22"/>
          <w:lang w:val="uk-UA"/>
        </w:rPr>
        <w:t>облігації</w:t>
      </w:r>
      <w:r w:rsidR="00D964F3" w:rsidRPr="000E05A8">
        <w:rPr>
          <w:spacing w:val="-8"/>
          <w:sz w:val="22"/>
          <w:szCs w:val="22"/>
          <w:lang w:val="uk-UA"/>
        </w:rPr>
        <w:t xml:space="preserve"> </w:t>
      </w:r>
      <w:r w:rsidRPr="000E05A8">
        <w:rPr>
          <w:spacing w:val="-2"/>
          <w:sz w:val="22"/>
          <w:szCs w:val="22"/>
          <w:lang w:val="uk-UA"/>
        </w:rPr>
        <w:t>та</w:t>
      </w:r>
      <w:r w:rsidR="00D964F3" w:rsidRPr="000E05A8">
        <w:rPr>
          <w:spacing w:val="-2"/>
          <w:sz w:val="22"/>
          <w:szCs w:val="22"/>
          <w:lang w:val="uk-UA"/>
        </w:rPr>
        <w:t xml:space="preserve"> </w:t>
      </w:r>
      <w:r w:rsidRPr="000E05A8">
        <w:rPr>
          <w:spacing w:val="-8"/>
          <w:sz w:val="22"/>
          <w:szCs w:val="22"/>
          <w:lang w:val="uk-UA"/>
        </w:rPr>
        <w:t>дебіторська</w:t>
      </w:r>
      <w:r w:rsidR="00D964F3" w:rsidRPr="000E05A8">
        <w:rPr>
          <w:spacing w:val="-8"/>
          <w:sz w:val="22"/>
          <w:szCs w:val="22"/>
          <w:lang w:val="uk-UA"/>
        </w:rPr>
        <w:t xml:space="preserve"> </w:t>
      </w:r>
      <w:r w:rsidRPr="000E05A8">
        <w:rPr>
          <w:spacing w:val="-8"/>
          <w:sz w:val="22"/>
          <w:szCs w:val="22"/>
          <w:lang w:val="uk-UA"/>
        </w:rPr>
        <w:t>заборгованість.</w:t>
      </w:r>
      <w:r w:rsidR="005C3B18" w:rsidRPr="000E05A8">
        <w:rPr>
          <w:spacing w:val="-8"/>
          <w:sz w:val="22"/>
          <w:szCs w:val="22"/>
          <w:lang w:val="uk-UA"/>
        </w:rPr>
        <w:t xml:space="preserve"> </w:t>
      </w:r>
    </w:p>
    <w:p w14:paraId="3766FDB6" w14:textId="77777777" w:rsidR="00752554" w:rsidRPr="000E05A8" w:rsidRDefault="00752554" w:rsidP="00794809">
      <w:pPr>
        <w:shd w:val="clear" w:color="auto" w:fill="FFFFFF"/>
        <w:ind w:firstLine="709"/>
        <w:jc w:val="both"/>
        <w:rPr>
          <w:sz w:val="22"/>
          <w:szCs w:val="22"/>
          <w:lang w:val="uk-UA"/>
        </w:rPr>
      </w:pPr>
      <w:r w:rsidRPr="000E05A8">
        <w:rPr>
          <w:sz w:val="22"/>
          <w:szCs w:val="22"/>
          <w:lang w:val="uk-UA"/>
        </w:rPr>
        <w:t xml:space="preserve">При визначенні рівня кредитного ризику фінансового активу у вигляді грошових коштів враховуються в першу чергу дані НБУ. Відповідно до цих даних рейтинговими компаніями складаються рейтинги банків. </w:t>
      </w:r>
    </w:p>
    <w:p w14:paraId="051FFE05" w14:textId="433FFF95" w:rsidR="00752554" w:rsidRPr="000E05A8" w:rsidRDefault="00752554" w:rsidP="00794809">
      <w:pPr>
        <w:ind w:firstLine="709"/>
        <w:jc w:val="both"/>
        <w:rPr>
          <w:spacing w:val="6"/>
          <w:sz w:val="22"/>
          <w:szCs w:val="22"/>
          <w:lang w:val="uk-UA"/>
        </w:rPr>
      </w:pPr>
      <w:r w:rsidRPr="000E05A8">
        <w:rPr>
          <w:sz w:val="22"/>
          <w:szCs w:val="22"/>
          <w:lang w:val="uk-UA"/>
        </w:rPr>
        <w:t xml:space="preserve">Станом на </w:t>
      </w:r>
      <w:r w:rsidR="00980979" w:rsidRPr="000E05A8">
        <w:rPr>
          <w:sz w:val="22"/>
          <w:szCs w:val="22"/>
          <w:lang w:val="uk-UA"/>
        </w:rPr>
        <w:t>31.03.2021</w:t>
      </w:r>
      <w:r w:rsidRPr="000E05A8">
        <w:rPr>
          <w:sz w:val="22"/>
          <w:szCs w:val="22"/>
          <w:lang w:val="uk-UA"/>
        </w:rPr>
        <w:t xml:space="preserve"> року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3760C38F" w14:textId="566FDBB0" w:rsidR="00752554" w:rsidRPr="000E05A8" w:rsidRDefault="00752554" w:rsidP="00794809">
      <w:pPr>
        <w:ind w:firstLine="709"/>
        <w:jc w:val="both"/>
        <w:rPr>
          <w:sz w:val="22"/>
          <w:szCs w:val="22"/>
          <w:lang w:val="uk-UA"/>
        </w:rPr>
      </w:pPr>
      <w:r w:rsidRPr="000E05A8">
        <w:rPr>
          <w:sz w:val="22"/>
          <w:szCs w:val="22"/>
          <w:lang w:val="uk-UA"/>
        </w:rPr>
        <w:t>Дане судження можливе виходячи з проведеного аналізу інформації щодо надійності та стабільності банку АТ «</w:t>
      </w:r>
      <w:r w:rsidR="0020159F" w:rsidRPr="000E05A8">
        <w:rPr>
          <w:sz w:val="22"/>
          <w:szCs w:val="22"/>
          <w:lang w:val="uk-UA"/>
        </w:rPr>
        <w:t>ПУМБ</w:t>
      </w:r>
      <w:r w:rsidRPr="000E05A8">
        <w:rPr>
          <w:sz w:val="22"/>
          <w:szCs w:val="22"/>
          <w:lang w:val="uk-UA"/>
        </w:rPr>
        <w:t xml:space="preserve">», в якому розміщено грошові кошти в розмірі </w:t>
      </w:r>
      <w:r w:rsidR="0020159F" w:rsidRPr="000E05A8">
        <w:rPr>
          <w:sz w:val="22"/>
          <w:szCs w:val="22"/>
          <w:lang w:val="uk-UA"/>
        </w:rPr>
        <w:t>415</w:t>
      </w:r>
      <w:r w:rsidRPr="000E05A8">
        <w:rPr>
          <w:sz w:val="22"/>
          <w:szCs w:val="22"/>
          <w:lang w:val="uk-UA"/>
        </w:rPr>
        <w:t xml:space="preserve"> тис. грн.</w:t>
      </w:r>
    </w:p>
    <w:p w14:paraId="56D3EAE6" w14:textId="5DDF46C0" w:rsidR="00A92C5E" w:rsidRPr="000E05A8" w:rsidRDefault="0020159F" w:rsidP="00A92C5E">
      <w:pPr>
        <w:jc w:val="both"/>
        <w:textAlignment w:val="baseline"/>
        <w:rPr>
          <w:sz w:val="22"/>
          <w:szCs w:val="22"/>
        </w:rPr>
      </w:pPr>
      <w:r w:rsidRPr="000E05A8">
        <w:rPr>
          <w:color w:val="474747"/>
          <w:sz w:val="22"/>
          <w:szCs w:val="22"/>
          <w:lang w:val="uk-UA"/>
        </w:rPr>
        <w:t xml:space="preserve">            </w:t>
      </w:r>
      <w:r w:rsidR="00A92C5E" w:rsidRPr="000E05A8">
        <w:rPr>
          <w:sz w:val="22"/>
          <w:szCs w:val="22"/>
        </w:rPr>
        <w:t>Незалежна рейтингова агенція «Кредит-Рейтинг» підтвердила довгостроковий кредитний рейтинг Першого Українського Міжнародного Банку (ПУМБ) на рівні uaААА. Прогноз рейтингу - стабільний. Агенція також підтвердила рейтинг надійності депозитів банку на рівні «5» (найвища надійність).</w:t>
      </w:r>
    </w:p>
    <w:p w14:paraId="1AE7642E" w14:textId="215BF5E0" w:rsidR="00A92C5E" w:rsidRPr="000E05A8" w:rsidRDefault="0020159F" w:rsidP="00A92C5E">
      <w:pPr>
        <w:jc w:val="both"/>
        <w:textAlignment w:val="baseline"/>
        <w:rPr>
          <w:sz w:val="22"/>
          <w:szCs w:val="22"/>
        </w:rPr>
      </w:pPr>
      <w:r w:rsidRPr="000E05A8">
        <w:rPr>
          <w:sz w:val="22"/>
          <w:szCs w:val="22"/>
          <w:lang w:val="uk-UA"/>
        </w:rPr>
        <w:t xml:space="preserve">          </w:t>
      </w:r>
      <w:r w:rsidR="00A92C5E" w:rsidRPr="000E05A8">
        <w:rPr>
          <w:sz w:val="22"/>
          <w:szCs w:val="22"/>
        </w:rPr>
        <w:t>Рейтинг uaAAА означає дуже високу кредитоспроможність банку.</w:t>
      </w:r>
    </w:p>
    <w:p w14:paraId="39FAFE65" w14:textId="0E6CC81E" w:rsidR="00A92C5E" w:rsidRPr="000E05A8" w:rsidRDefault="00D50C8C" w:rsidP="00A92C5E">
      <w:pPr>
        <w:jc w:val="both"/>
        <w:textAlignment w:val="baseline"/>
        <w:rPr>
          <w:color w:val="FF0000"/>
          <w:sz w:val="22"/>
          <w:szCs w:val="22"/>
          <w:lang w:val="uk-UA"/>
        </w:rPr>
      </w:pPr>
      <w:r w:rsidRPr="000E05A8">
        <w:rPr>
          <w:sz w:val="22"/>
          <w:szCs w:val="22"/>
          <w:lang w:val="uk-UA"/>
        </w:rPr>
        <w:t xml:space="preserve">          </w:t>
      </w:r>
      <w:r w:rsidR="00A92C5E" w:rsidRPr="000E05A8">
        <w:rPr>
          <w:sz w:val="22"/>
          <w:szCs w:val="22"/>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B52423" w:rsidRPr="000E05A8">
        <w:rPr>
          <w:sz w:val="22"/>
          <w:szCs w:val="22"/>
          <w:lang w:val="uk-UA"/>
        </w:rPr>
        <w:t xml:space="preserve"> Дані </w:t>
      </w:r>
      <w:r w:rsidR="00EA6D3C" w:rsidRPr="000E05A8">
        <w:rPr>
          <w:sz w:val="22"/>
          <w:szCs w:val="22"/>
          <w:lang w:val="uk-UA"/>
        </w:rPr>
        <w:t>про рейтинг взяті за посиланням:</w:t>
      </w:r>
      <w:r w:rsidR="005C3B18" w:rsidRPr="000E05A8">
        <w:rPr>
          <w:sz w:val="22"/>
          <w:szCs w:val="22"/>
          <w:lang w:val="uk-UA"/>
        </w:rPr>
        <w:t xml:space="preserve"> https://www.credit-rating.ua/ru/events/press-releases/14948/</w:t>
      </w:r>
    </w:p>
    <w:p w14:paraId="23CC038F" w14:textId="77777777" w:rsidR="00752554" w:rsidRPr="000E05A8" w:rsidRDefault="00752554" w:rsidP="00794809">
      <w:pPr>
        <w:ind w:firstLine="709"/>
        <w:jc w:val="both"/>
        <w:rPr>
          <w:sz w:val="22"/>
          <w:szCs w:val="22"/>
          <w:lang w:val="uk-UA"/>
        </w:rPr>
      </w:pPr>
      <w:r w:rsidRPr="000E05A8">
        <w:rPr>
          <w:sz w:val="22"/>
          <w:szCs w:val="22"/>
          <w:lang w:val="uk-UA"/>
        </w:rPr>
        <w:t>Враховуючи проведений аналіз, керівництво Товариства дійшло висновку, що банк є достатньо надійним.</w:t>
      </w:r>
    </w:p>
    <w:p w14:paraId="64B14190" w14:textId="7A71EB0F" w:rsidR="00752554" w:rsidRPr="000E05A8" w:rsidRDefault="00752554" w:rsidP="00794809">
      <w:pPr>
        <w:ind w:firstLine="709"/>
        <w:jc w:val="both"/>
        <w:rPr>
          <w:sz w:val="22"/>
          <w:szCs w:val="22"/>
          <w:lang w:val="uk-UA"/>
        </w:rPr>
      </w:pPr>
      <w:r w:rsidRPr="000E05A8">
        <w:rPr>
          <w:sz w:val="22"/>
          <w:szCs w:val="22"/>
          <w:lang w:val="uk-UA"/>
        </w:rPr>
        <w:t>Також для визначення впливу кредитного ризику на зміну справедливої вартості активів керівництво Товариства враховує вимоги Рішення НКЦПФР № 1597 від 01.10.2015р. «Про затвердження Положення щодо пруденційних нормативів професійної діяльності на фондовому ринку та вимог до системи управління ризиками»</w:t>
      </w:r>
      <w:r w:rsidR="00B667CF" w:rsidRPr="000E05A8">
        <w:rPr>
          <w:sz w:val="22"/>
          <w:szCs w:val="22"/>
          <w:lang w:val="uk-UA"/>
        </w:rPr>
        <w:t xml:space="preserve"> (з змінами та доповненнями</w:t>
      </w:r>
      <w:r w:rsidR="00965559" w:rsidRPr="000E05A8">
        <w:rPr>
          <w:sz w:val="22"/>
          <w:szCs w:val="22"/>
          <w:lang w:val="uk-UA"/>
        </w:rPr>
        <w:t>, в редакції від 24.07.2020 року)</w:t>
      </w:r>
      <w:r w:rsidRPr="000E05A8">
        <w:rPr>
          <w:sz w:val="22"/>
          <w:szCs w:val="22"/>
          <w:lang w:val="uk-UA"/>
        </w:rPr>
        <w:t xml:space="preserve">. Згідно з вище зазначеним Положенням, грошові кошти, що знаходяться на поточному рахунку станом на </w:t>
      </w:r>
      <w:r w:rsidR="00980979" w:rsidRPr="000E05A8">
        <w:rPr>
          <w:sz w:val="22"/>
          <w:szCs w:val="22"/>
          <w:lang w:val="uk-UA"/>
        </w:rPr>
        <w:t>31.03.2021</w:t>
      </w:r>
      <w:r w:rsidRPr="000E05A8">
        <w:rPr>
          <w:sz w:val="22"/>
          <w:szCs w:val="22"/>
          <w:lang w:val="uk-UA"/>
        </w:rPr>
        <w:t xml:space="preserve"> року, віднесен</w:t>
      </w:r>
      <w:r w:rsidR="00D90AE4" w:rsidRPr="000E05A8">
        <w:rPr>
          <w:sz w:val="22"/>
          <w:szCs w:val="22"/>
          <w:lang w:val="uk-UA"/>
        </w:rPr>
        <w:t>і</w:t>
      </w:r>
      <w:r w:rsidRPr="000E05A8">
        <w:rPr>
          <w:sz w:val="22"/>
          <w:szCs w:val="22"/>
          <w:lang w:val="uk-UA"/>
        </w:rPr>
        <w:t xml:space="preserve"> до першої групи активів зі ступенем кредитного ризику 0 відсотків.</w:t>
      </w:r>
    </w:p>
    <w:p w14:paraId="7F2D2F7D" w14:textId="45E33F73" w:rsidR="00752554" w:rsidRPr="000E05A8" w:rsidRDefault="00752554" w:rsidP="00794809">
      <w:pPr>
        <w:ind w:firstLine="709"/>
        <w:jc w:val="both"/>
        <w:rPr>
          <w:sz w:val="22"/>
          <w:szCs w:val="22"/>
          <w:lang w:val="uk-UA"/>
        </w:rPr>
      </w:pPr>
      <w:r w:rsidRPr="000E05A8">
        <w:rPr>
          <w:spacing w:val="-8"/>
          <w:sz w:val="22"/>
          <w:szCs w:val="22"/>
          <w:lang w:val="uk-UA"/>
        </w:rPr>
        <w:t xml:space="preserve">Для поточних фінансових інвестицій станом на </w:t>
      </w:r>
      <w:r w:rsidR="00980979" w:rsidRPr="000E05A8">
        <w:rPr>
          <w:spacing w:val="-8"/>
          <w:sz w:val="22"/>
          <w:szCs w:val="22"/>
          <w:lang w:val="uk-UA"/>
        </w:rPr>
        <w:t>31.03.2021</w:t>
      </w:r>
      <w:r w:rsidRPr="000E05A8">
        <w:rPr>
          <w:spacing w:val="-8"/>
          <w:sz w:val="22"/>
          <w:szCs w:val="22"/>
          <w:lang w:val="uk-UA"/>
        </w:rPr>
        <w:t xml:space="preserve"> р.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0383CA1F" w14:textId="5595013E" w:rsidR="00752554" w:rsidRPr="000E05A8" w:rsidRDefault="00752554" w:rsidP="001155FD">
      <w:pPr>
        <w:ind w:firstLine="709"/>
        <w:jc w:val="both"/>
        <w:rPr>
          <w:sz w:val="22"/>
          <w:szCs w:val="22"/>
          <w:lang w:val="uk-UA"/>
        </w:rPr>
      </w:pPr>
      <w:r w:rsidRPr="000E05A8">
        <w:rPr>
          <w:spacing w:val="-6"/>
          <w:sz w:val="22"/>
          <w:szCs w:val="22"/>
          <w:lang w:val="uk-UA"/>
        </w:rPr>
        <w:t>Основним м</w:t>
      </w:r>
      <w:r w:rsidRPr="000E05A8">
        <w:rPr>
          <w:spacing w:val="-8"/>
          <w:sz w:val="22"/>
          <w:szCs w:val="22"/>
          <w:lang w:val="uk-UA"/>
        </w:rPr>
        <w:t xml:space="preserve">етодом </w:t>
      </w:r>
      <w:r w:rsidRPr="000E05A8">
        <w:rPr>
          <w:spacing w:val="-6"/>
          <w:sz w:val="22"/>
          <w:szCs w:val="22"/>
          <w:lang w:val="uk-UA"/>
        </w:rPr>
        <w:t xml:space="preserve">оцінки кредитних ризиків Товариства </w:t>
      </w:r>
      <w:r w:rsidRPr="000E05A8">
        <w:rPr>
          <w:sz w:val="22"/>
          <w:szCs w:val="22"/>
          <w:lang w:val="uk-UA"/>
        </w:rPr>
        <w:t xml:space="preserve">є </w:t>
      </w:r>
      <w:r w:rsidRPr="000E05A8">
        <w:rPr>
          <w:spacing w:val="-6"/>
          <w:sz w:val="22"/>
          <w:szCs w:val="22"/>
          <w:lang w:val="uk-UA"/>
        </w:rPr>
        <w:t xml:space="preserve">оцінка кредитоспроможності </w:t>
      </w:r>
      <w:r w:rsidRPr="000E05A8">
        <w:rPr>
          <w:spacing w:val="-8"/>
          <w:sz w:val="22"/>
          <w:szCs w:val="22"/>
          <w:lang w:val="uk-UA"/>
        </w:rPr>
        <w:t xml:space="preserve">контрагентів, </w:t>
      </w:r>
      <w:r w:rsidRPr="000E05A8">
        <w:rPr>
          <w:spacing w:val="-6"/>
          <w:sz w:val="22"/>
          <w:szCs w:val="22"/>
          <w:lang w:val="uk-UA"/>
        </w:rPr>
        <w:t xml:space="preserve">для </w:t>
      </w:r>
      <w:r w:rsidRPr="000E05A8">
        <w:rPr>
          <w:spacing w:val="-8"/>
          <w:sz w:val="22"/>
          <w:szCs w:val="22"/>
          <w:lang w:val="uk-UA"/>
        </w:rPr>
        <w:t xml:space="preserve">чого використовуються </w:t>
      </w:r>
      <w:r w:rsidRPr="000E05A8">
        <w:rPr>
          <w:spacing w:val="-6"/>
          <w:sz w:val="22"/>
          <w:szCs w:val="22"/>
          <w:lang w:val="uk-UA"/>
        </w:rPr>
        <w:t xml:space="preserve">кредитні рейтинги </w:t>
      </w:r>
      <w:r w:rsidRPr="000E05A8">
        <w:rPr>
          <w:spacing w:val="-2"/>
          <w:sz w:val="22"/>
          <w:szCs w:val="22"/>
          <w:lang w:val="uk-UA"/>
        </w:rPr>
        <w:t xml:space="preserve">та </w:t>
      </w:r>
      <w:r w:rsidRPr="000E05A8">
        <w:rPr>
          <w:spacing w:val="-10"/>
          <w:sz w:val="22"/>
          <w:szCs w:val="22"/>
          <w:lang w:val="uk-UA"/>
        </w:rPr>
        <w:t xml:space="preserve">будь-яка </w:t>
      </w:r>
      <w:r w:rsidRPr="000E05A8">
        <w:rPr>
          <w:spacing w:val="-6"/>
          <w:sz w:val="22"/>
          <w:szCs w:val="22"/>
          <w:lang w:val="uk-UA"/>
        </w:rPr>
        <w:t xml:space="preserve">інша доступна </w:t>
      </w:r>
      <w:r w:rsidRPr="000E05A8">
        <w:rPr>
          <w:spacing w:val="-8"/>
          <w:sz w:val="22"/>
          <w:szCs w:val="22"/>
          <w:lang w:val="uk-UA"/>
        </w:rPr>
        <w:t xml:space="preserve">інформація щодо </w:t>
      </w:r>
      <w:r w:rsidRPr="000E05A8">
        <w:rPr>
          <w:spacing w:val="-4"/>
          <w:sz w:val="22"/>
          <w:szCs w:val="22"/>
          <w:lang w:val="uk-UA"/>
        </w:rPr>
        <w:t xml:space="preserve">їх спроможності </w:t>
      </w:r>
      <w:r w:rsidRPr="000E05A8">
        <w:rPr>
          <w:spacing w:val="-8"/>
          <w:sz w:val="22"/>
          <w:szCs w:val="22"/>
          <w:lang w:val="uk-UA"/>
        </w:rPr>
        <w:t xml:space="preserve">виконувати боргові </w:t>
      </w:r>
      <w:r w:rsidRPr="000E05A8">
        <w:rPr>
          <w:spacing w:val="-6"/>
          <w:sz w:val="22"/>
          <w:szCs w:val="22"/>
          <w:lang w:val="uk-UA"/>
        </w:rPr>
        <w:t>зобов’язання.</w:t>
      </w:r>
    </w:p>
    <w:tbl>
      <w:tblPr>
        <w:tblW w:w="963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4815"/>
        <w:gridCol w:w="2693"/>
        <w:gridCol w:w="2126"/>
      </w:tblGrid>
      <w:tr w:rsidR="00752554" w:rsidRPr="000D475D" w14:paraId="2109851E" w14:textId="77777777" w:rsidTr="000D475D">
        <w:trPr>
          <w:trHeight w:val="540"/>
          <w:tblCellSpacing w:w="0" w:type="dxa"/>
          <w:jc w:val="center"/>
        </w:trPr>
        <w:tc>
          <w:tcPr>
            <w:tcW w:w="4815" w:type="dxa"/>
            <w:shd w:val="clear" w:color="auto" w:fill="FFFFFF"/>
            <w:tcMar>
              <w:top w:w="0" w:type="dxa"/>
              <w:left w:w="108" w:type="dxa"/>
              <w:bottom w:w="0" w:type="dxa"/>
              <w:right w:w="0" w:type="dxa"/>
            </w:tcMar>
            <w:vAlign w:val="center"/>
          </w:tcPr>
          <w:p w14:paraId="71EDB68A" w14:textId="77777777" w:rsidR="00752554" w:rsidRPr="000D475D" w:rsidRDefault="00752554" w:rsidP="00794809">
            <w:pPr>
              <w:ind w:firstLine="709"/>
              <w:jc w:val="both"/>
              <w:rPr>
                <w:sz w:val="20"/>
                <w:szCs w:val="20"/>
                <w:lang w:val="uk-UA"/>
              </w:rPr>
            </w:pPr>
            <w:r w:rsidRPr="000D475D">
              <w:rPr>
                <w:sz w:val="20"/>
                <w:szCs w:val="20"/>
                <w:lang w:val="uk-UA"/>
              </w:rPr>
              <w:t>Активи вразливі до кредитного ризику</w:t>
            </w:r>
          </w:p>
        </w:tc>
        <w:tc>
          <w:tcPr>
            <w:tcW w:w="2693" w:type="dxa"/>
            <w:shd w:val="clear" w:color="auto" w:fill="FFFFFF"/>
            <w:tcMar>
              <w:top w:w="0" w:type="dxa"/>
              <w:left w:w="108" w:type="dxa"/>
              <w:bottom w:w="0" w:type="dxa"/>
              <w:right w:w="0" w:type="dxa"/>
            </w:tcMar>
            <w:vAlign w:val="center"/>
          </w:tcPr>
          <w:p w14:paraId="4780BD93" w14:textId="124D9501" w:rsidR="00752554" w:rsidRPr="000D475D" w:rsidRDefault="00980979" w:rsidP="00794809">
            <w:pPr>
              <w:jc w:val="both"/>
              <w:rPr>
                <w:sz w:val="20"/>
                <w:szCs w:val="20"/>
                <w:lang w:val="uk-UA"/>
              </w:rPr>
            </w:pPr>
            <w:r w:rsidRPr="000D475D">
              <w:rPr>
                <w:spacing w:val="-8"/>
                <w:sz w:val="20"/>
                <w:szCs w:val="20"/>
                <w:lang w:val="uk-UA"/>
              </w:rPr>
              <w:t>31.03.2021</w:t>
            </w:r>
            <w:r w:rsidR="00752554" w:rsidRPr="000D475D">
              <w:rPr>
                <w:spacing w:val="-8"/>
                <w:sz w:val="20"/>
                <w:szCs w:val="20"/>
                <w:lang w:val="uk-UA"/>
              </w:rPr>
              <w:t xml:space="preserve"> </w:t>
            </w:r>
            <w:r w:rsidR="00752554" w:rsidRPr="000D475D">
              <w:rPr>
                <w:sz w:val="20"/>
                <w:szCs w:val="20"/>
                <w:lang w:val="uk-UA"/>
              </w:rPr>
              <w:t>р.,</w:t>
            </w:r>
          </w:p>
          <w:p w14:paraId="30F58A8B" w14:textId="77777777" w:rsidR="00752554" w:rsidRPr="000D475D" w:rsidRDefault="00752554" w:rsidP="00794809">
            <w:pPr>
              <w:jc w:val="both"/>
              <w:rPr>
                <w:sz w:val="20"/>
                <w:szCs w:val="20"/>
                <w:lang w:val="uk-UA"/>
              </w:rPr>
            </w:pPr>
            <w:r w:rsidRPr="000D475D">
              <w:rPr>
                <w:sz w:val="20"/>
                <w:szCs w:val="20"/>
                <w:lang w:val="uk-UA"/>
              </w:rPr>
              <w:t>тис. грн.</w:t>
            </w:r>
          </w:p>
        </w:tc>
        <w:tc>
          <w:tcPr>
            <w:tcW w:w="2126" w:type="dxa"/>
            <w:shd w:val="clear" w:color="auto" w:fill="FFFFFF"/>
            <w:tcMar>
              <w:top w:w="0" w:type="dxa"/>
              <w:left w:w="108" w:type="dxa"/>
              <w:bottom w:w="0" w:type="dxa"/>
              <w:right w:w="108" w:type="dxa"/>
            </w:tcMar>
            <w:vAlign w:val="center"/>
          </w:tcPr>
          <w:p w14:paraId="56D0BDAD" w14:textId="77777777" w:rsidR="00752554" w:rsidRPr="000D475D" w:rsidRDefault="00752554" w:rsidP="00794809">
            <w:pPr>
              <w:jc w:val="both"/>
              <w:rPr>
                <w:sz w:val="20"/>
                <w:szCs w:val="20"/>
                <w:lang w:val="uk-UA"/>
              </w:rPr>
            </w:pPr>
            <w:r w:rsidRPr="000D475D">
              <w:rPr>
                <w:sz w:val="20"/>
                <w:szCs w:val="20"/>
                <w:lang w:val="uk-UA"/>
              </w:rPr>
              <w:t>Частка від активів, %</w:t>
            </w:r>
          </w:p>
        </w:tc>
      </w:tr>
      <w:tr w:rsidR="00752554" w:rsidRPr="000D475D" w14:paraId="5CFC5A2F" w14:textId="77777777" w:rsidTr="000D475D">
        <w:trPr>
          <w:trHeight w:val="888"/>
          <w:tblCellSpacing w:w="0" w:type="dxa"/>
          <w:jc w:val="center"/>
        </w:trPr>
        <w:tc>
          <w:tcPr>
            <w:tcW w:w="4815" w:type="dxa"/>
            <w:shd w:val="clear" w:color="auto" w:fill="FFFFFF"/>
            <w:tcMar>
              <w:top w:w="0" w:type="dxa"/>
              <w:left w:w="108" w:type="dxa"/>
              <w:bottom w:w="0" w:type="dxa"/>
              <w:right w:w="0" w:type="dxa"/>
            </w:tcMar>
            <w:vAlign w:val="center"/>
          </w:tcPr>
          <w:p w14:paraId="05449FA0" w14:textId="03D0B58F" w:rsidR="00752554" w:rsidRPr="000D475D" w:rsidRDefault="00752554" w:rsidP="00794809">
            <w:pPr>
              <w:ind w:firstLine="709"/>
              <w:jc w:val="both"/>
              <w:rPr>
                <w:sz w:val="20"/>
                <w:szCs w:val="20"/>
                <w:lang w:val="uk-UA"/>
              </w:rPr>
            </w:pPr>
            <w:r w:rsidRPr="000D475D">
              <w:rPr>
                <w:sz w:val="20"/>
                <w:szCs w:val="20"/>
                <w:lang w:val="uk-UA"/>
              </w:rPr>
              <w:lastRenderedPageBreak/>
              <w:t>Поточні фінансові інвестиції (О</w:t>
            </w:r>
            <w:r w:rsidR="002B0B68" w:rsidRPr="000D475D">
              <w:rPr>
                <w:sz w:val="20"/>
                <w:szCs w:val="20"/>
                <w:lang w:val="uk-UA"/>
              </w:rPr>
              <w:t>З</w:t>
            </w:r>
            <w:r w:rsidRPr="000D475D">
              <w:rPr>
                <w:sz w:val="20"/>
                <w:szCs w:val="20"/>
                <w:lang w:val="uk-UA"/>
              </w:rPr>
              <w:t>ДП)</w:t>
            </w:r>
          </w:p>
          <w:p w14:paraId="34AC7ACB" w14:textId="0949DA42" w:rsidR="00752554" w:rsidRPr="000D475D" w:rsidRDefault="00752554" w:rsidP="00794809">
            <w:pPr>
              <w:ind w:firstLine="709"/>
              <w:jc w:val="both"/>
              <w:rPr>
                <w:sz w:val="20"/>
                <w:szCs w:val="20"/>
                <w:lang w:val="uk-UA"/>
              </w:rPr>
            </w:pPr>
            <w:r w:rsidRPr="000D475D">
              <w:rPr>
                <w:sz w:val="20"/>
                <w:szCs w:val="20"/>
                <w:lang w:val="uk-UA"/>
              </w:rPr>
              <w:t xml:space="preserve">(ISIN: </w:t>
            </w:r>
            <w:r w:rsidR="00CF77CA" w:rsidRPr="000D475D">
              <w:rPr>
                <w:rFonts w:eastAsiaTheme="minorEastAsia"/>
                <w:sz w:val="20"/>
                <w:szCs w:val="20"/>
                <w:lang w:val="en-US"/>
              </w:rPr>
              <w:t>XS</w:t>
            </w:r>
            <w:r w:rsidR="00CF77CA" w:rsidRPr="000D475D">
              <w:rPr>
                <w:rFonts w:eastAsiaTheme="minorEastAsia"/>
                <w:sz w:val="20"/>
                <w:szCs w:val="20"/>
              </w:rPr>
              <w:t>1303926528</w:t>
            </w:r>
            <w:r w:rsidRPr="000D475D">
              <w:rPr>
                <w:sz w:val="20"/>
                <w:szCs w:val="20"/>
                <w:lang w:val="uk-UA"/>
              </w:rPr>
              <w:t>)</w:t>
            </w:r>
          </w:p>
        </w:tc>
        <w:tc>
          <w:tcPr>
            <w:tcW w:w="2693" w:type="dxa"/>
            <w:shd w:val="clear" w:color="auto" w:fill="FFFFFF"/>
            <w:tcMar>
              <w:top w:w="0" w:type="dxa"/>
              <w:left w:w="108" w:type="dxa"/>
              <w:bottom w:w="0" w:type="dxa"/>
              <w:right w:w="0" w:type="dxa"/>
            </w:tcMar>
            <w:vAlign w:val="center"/>
          </w:tcPr>
          <w:p w14:paraId="57EF8407" w14:textId="449F37CE" w:rsidR="00752554" w:rsidRPr="000D475D" w:rsidRDefault="00F61929" w:rsidP="00DD575C">
            <w:pPr>
              <w:jc w:val="both"/>
              <w:rPr>
                <w:sz w:val="20"/>
                <w:szCs w:val="20"/>
                <w:lang w:val="uk-UA"/>
              </w:rPr>
            </w:pPr>
            <w:r w:rsidRPr="000D475D">
              <w:rPr>
                <w:sz w:val="20"/>
                <w:szCs w:val="20"/>
                <w:lang w:val="uk-UA"/>
              </w:rPr>
              <w:t>6 895</w:t>
            </w:r>
          </w:p>
        </w:tc>
        <w:tc>
          <w:tcPr>
            <w:tcW w:w="2126" w:type="dxa"/>
            <w:shd w:val="clear" w:color="auto" w:fill="FFFFFF"/>
            <w:tcMar>
              <w:top w:w="0" w:type="dxa"/>
              <w:left w:w="108" w:type="dxa"/>
              <w:bottom w:w="0" w:type="dxa"/>
              <w:right w:w="108" w:type="dxa"/>
            </w:tcMar>
            <w:vAlign w:val="center"/>
          </w:tcPr>
          <w:p w14:paraId="1AA8E8EC" w14:textId="004DB83E" w:rsidR="00752554" w:rsidRPr="000D475D" w:rsidRDefault="003E6264" w:rsidP="00DD575C">
            <w:pPr>
              <w:ind w:firstLine="709"/>
              <w:jc w:val="both"/>
              <w:rPr>
                <w:sz w:val="20"/>
                <w:szCs w:val="20"/>
                <w:lang w:val="uk-UA"/>
              </w:rPr>
            </w:pPr>
            <w:r w:rsidRPr="000D475D">
              <w:rPr>
                <w:sz w:val="20"/>
                <w:szCs w:val="20"/>
                <w:lang w:val="uk-UA"/>
              </w:rPr>
              <w:t>95,92</w:t>
            </w:r>
          </w:p>
        </w:tc>
      </w:tr>
    </w:tbl>
    <w:p w14:paraId="581C9C9B" w14:textId="6A85EBBC" w:rsidR="00752554" w:rsidRPr="000E05A8" w:rsidRDefault="00752554" w:rsidP="00794809">
      <w:pPr>
        <w:ind w:firstLine="709"/>
        <w:jc w:val="both"/>
        <w:rPr>
          <w:sz w:val="22"/>
          <w:szCs w:val="22"/>
          <w:lang w:val="uk-UA"/>
        </w:rPr>
      </w:pPr>
      <w:r w:rsidRPr="000E05A8">
        <w:rPr>
          <w:sz w:val="22"/>
          <w:szCs w:val="22"/>
          <w:lang w:val="uk-UA"/>
        </w:rPr>
        <w:t>В наявності у ТОВ «КУА «</w:t>
      </w:r>
      <w:r w:rsidR="004326C6" w:rsidRPr="000E05A8">
        <w:rPr>
          <w:sz w:val="22"/>
          <w:szCs w:val="22"/>
          <w:lang w:val="uk-UA"/>
        </w:rPr>
        <w:t>ЕВРІС</w:t>
      </w:r>
      <w:r w:rsidRPr="000E05A8">
        <w:rPr>
          <w:sz w:val="22"/>
          <w:szCs w:val="22"/>
          <w:lang w:val="uk-UA"/>
        </w:rPr>
        <w:t xml:space="preserve">» є облігації </w:t>
      </w:r>
      <w:r w:rsidR="003107CB" w:rsidRPr="000E05A8">
        <w:rPr>
          <w:sz w:val="22"/>
          <w:szCs w:val="22"/>
          <w:lang w:val="uk-UA"/>
        </w:rPr>
        <w:t>зовнішньої</w:t>
      </w:r>
      <w:r w:rsidRPr="000E05A8">
        <w:rPr>
          <w:sz w:val="22"/>
          <w:szCs w:val="22"/>
          <w:lang w:val="uk-UA"/>
        </w:rPr>
        <w:t xml:space="preserve"> державної позики (</w:t>
      </w:r>
      <w:r w:rsidR="004326C6" w:rsidRPr="000E05A8">
        <w:rPr>
          <w:rFonts w:eastAsiaTheme="minorEastAsia"/>
          <w:sz w:val="22"/>
          <w:szCs w:val="22"/>
          <w:lang w:val="en-US"/>
        </w:rPr>
        <w:t>XS</w:t>
      </w:r>
      <w:r w:rsidR="004326C6" w:rsidRPr="000E05A8">
        <w:rPr>
          <w:rFonts w:eastAsiaTheme="minorEastAsia"/>
          <w:sz w:val="22"/>
          <w:szCs w:val="22"/>
        </w:rPr>
        <w:t>1303926528</w:t>
      </w:r>
      <w:r w:rsidRPr="000E05A8">
        <w:rPr>
          <w:sz w:val="22"/>
          <w:szCs w:val="22"/>
          <w:lang w:val="uk-UA"/>
        </w:rPr>
        <w:t xml:space="preserve">) номіналом </w:t>
      </w:r>
      <w:r w:rsidR="003107CB" w:rsidRPr="000E05A8">
        <w:rPr>
          <w:color w:val="333333"/>
          <w:sz w:val="22"/>
          <w:szCs w:val="22"/>
          <w:shd w:val="clear" w:color="auto" w:fill="F7F7F7"/>
        </w:rPr>
        <w:t>1 000 USD</w:t>
      </w:r>
      <w:r w:rsidR="00A51A22" w:rsidRPr="000E05A8">
        <w:rPr>
          <w:sz w:val="22"/>
          <w:szCs w:val="22"/>
          <w:lang w:val="uk-UA"/>
        </w:rPr>
        <w:t>,</w:t>
      </w:r>
      <w:r w:rsidRPr="000E05A8">
        <w:rPr>
          <w:sz w:val="22"/>
          <w:szCs w:val="22"/>
          <w:lang w:val="uk-UA"/>
        </w:rPr>
        <w:t xml:space="preserve"> у кількості </w:t>
      </w:r>
      <w:r w:rsidR="003107CB" w:rsidRPr="000E05A8">
        <w:rPr>
          <w:sz w:val="22"/>
          <w:szCs w:val="22"/>
          <w:lang w:val="uk-UA"/>
        </w:rPr>
        <w:t>215</w:t>
      </w:r>
      <w:r w:rsidRPr="000E05A8">
        <w:rPr>
          <w:sz w:val="22"/>
          <w:szCs w:val="22"/>
          <w:lang w:val="uk-UA"/>
        </w:rPr>
        <w:t xml:space="preserve"> шт., номінальний рівень дохідності </w:t>
      </w:r>
      <w:r w:rsidR="00E90C3A" w:rsidRPr="000E05A8">
        <w:rPr>
          <w:sz w:val="22"/>
          <w:szCs w:val="22"/>
          <w:lang w:val="uk-UA"/>
        </w:rPr>
        <w:t>7</w:t>
      </w:r>
      <w:r w:rsidRPr="000E05A8">
        <w:rPr>
          <w:sz w:val="22"/>
          <w:szCs w:val="22"/>
          <w:lang w:val="uk-UA"/>
        </w:rPr>
        <w:t>.75 %.</w:t>
      </w:r>
      <w:r w:rsidR="001B4F26" w:rsidRPr="000E05A8">
        <w:rPr>
          <w:sz w:val="22"/>
          <w:szCs w:val="22"/>
          <w:lang w:val="uk-UA"/>
        </w:rPr>
        <w:t xml:space="preserve"> </w:t>
      </w:r>
    </w:p>
    <w:p w14:paraId="700723C7" w14:textId="7C5DE565" w:rsidR="00752554" w:rsidRPr="000E05A8" w:rsidRDefault="00752554" w:rsidP="00794809">
      <w:pPr>
        <w:ind w:firstLine="709"/>
        <w:jc w:val="both"/>
        <w:rPr>
          <w:sz w:val="22"/>
          <w:szCs w:val="22"/>
          <w:lang w:val="uk-UA"/>
        </w:rPr>
      </w:pPr>
      <w:r w:rsidRPr="000E05A8">
        <w:rPr>
          <w:sz w:val="22"/>
          <w:szCs w:val="22"/>
          <w:lang w:val="uk-UA"/>
        </w:rPr>
        <w:t xml:space="preserve">Облігації </w:t>
      </w:r>
      <w:r w:rsidR="00922F6A" w:rsidRPr="000E05A8">
        <w:rPr>
          <w:sz w:val="22"/>
          <w:szCs w:val="22"/>
          <w:lang w:val="uk-UA"/>
        </w:rPr>
        <w:t>зовнішньо</w:t>
      </w:r>
      <w:r w:rsidR="00137673" w:rsidRPr="000E05A8">
        <w:rPr>
          <w:sz w:val="22"/>
          <w:szCs w:val="22"/>
          <w:lang w:val="uk-UA"/>
        </w:rPr>
        <w:t>ї</w:t>
      </w:r>
      <w:r w:rsidRPr="000E05A8">
        <w:rPr>
          <w:sz w:val="22"/>
          <w:szCs w:val="22"/>
          <w:lang w:val="uk-UA"/>
        </w:rPr>
        <w:t xml:space="preserve"> державної позики характеризуються високою ліквідністю на ринку цінних паперів України. Цінні папери можна продати у будь який час за ринковою вартістю. </w:t>
      </w:r>
    </w:p>
    <w:p w14:paraId="5CF470FE" w14:textId="497BECD1" w:rsidR="00752554" w:rsidRPr="000E05A8" w:rsidRDefault="00752554" w:rsidP="00794809">
      <w:pPr>
        <w:ind w:firstLine="709"/>
        <w:jc w:val="both"/>
        <w:rPr>
          <w:sz w:val="22"/>
          <w:szCs w:val="22"/>
          <w:lang w:val="uk-UA"/>
        </w:rPr>
      </w:pPr>
      <w:r w:rsidRPr="000E05A8">
        <w:rPr>
          <w:sz w:val="22"/>
          <w:szCs w:val="22"/>
          <w:lang w:val="uk-UA"/>
        </w:rPr>
        <w:t xml:space="preserve">Міністерство фінансів гарантує своєчасне погашення та виплату за облігаціями </w:t>
      </w:r>
      <w:r w:rsidR="00137673" w:rsidRPr="000E05A8">
        <w:rPr>
          <w:sz w:val="22"/>
          <w:szCs w:val="22"/>
          <w:lang w:val="uk-UA"/>
        </w:rPr>
        <w:t>зовнішнього</w:t>
      </w:r>
      <w:r w:rsidRPr="000E05A8">
        <w:rPr>
          <w:sz w:val="22"/>
          <w:szCs w:val="22"/>
          <w:lang w:val="uk-UA"/>
        </w:rPr>
        <w:t xml:space="preserve"> державного боргу відповідно до умов випуску та незалежно від розміру суми вкладень. </w:t>
      </w:r>
    </w:p>
    <w:p w14:paraId="289FA91A" w14:textId="0677DD79" w:rsidR="00752554" w:rsidRPr="000E05A8" w:rsidRDefault="00752554" w:rsidP="00794809">
      <w:pPr>
        <w:ind w:firstLine="709"/>
        <w:jc w:val="both"/>
        <w:rPr>
          <w:sz w:val="22"/>
          <w:szCs w:val="22"/>
          <w:lang w:val="uk-UA"/>
        </w:rPr>
      </w:pPr>
      <w:r w:rsidRPr="000E05A8">
        <w:rPr>
          <w:sz w:val="22"/>
          <w:szCs w:val="22"/>
          <w:lang w:val="uk-UA"/>
        </w:rPr>
        <w:t xml:space="preserve">На даний момент </w:t>
      </w:r>
      <w:r w:rsidR="00137673" w:rsidRPr="000E05A8">
        <w:rPr>
          <w:sz w:val="22"/>
          <w:szCs w:val="22"/>
          <w:lang w:val="uk-UA"/>
        </w:rPr>
        <w:t>ОЗДП</w:t>
      </w:r>
      <w:r w:rsidRPr="000E05A8">
        <w:rPr>
          <w:sz w:val="22"/>
          <w:szCs w:val="22"/>
          <w:lang w:val="uk-UA"/>
        </w:rPr>
        <w:t xml:space="preserve"> є кращою альтернативою а ніж депозити, оскільки мають вищий рівень дохідності. </w:t>
      </w:r>
    </w:p>
    <w:p w14:paraId="10270258" w14:textId="77777777" w:rsidR="00752554" w:rsidRPr="000E05A8" w:rsidRDefault="00752554" w:rsidP="00794809">
      <w:pPr>
        <w:ind w:firstLine="709"/>
        <w:jc w:val="both"/>
        <w:rPr>
          <w:sz w:val="22"/>
          <w:szCs w:val="22"/>
          <w:lang w:val="uk-UA"/>
        </w:rPr>
      </w:pPr>
      <w:r w:rsidRPr="000E05A8">
        <w:rPr>
          <w:sz w:val="22"/>
          <w:szCs w:val="22"/>
          <w:lang w:val="uk-UA"/>
        </w:rPr>
        <w:t>Також взято до уваги «Положення щодо пруденційних нормативів професійної діяльності на фондовому ринку та вимог до системи управління ризиками», затверджене рішенням НКЦПФР № 1597 від 01.10.2015 р., згідно з яким  кошти на поточних рахунках, державні цінні папери, цінні папери, гарантовані державою, та доходи, нараховані за ними, відносяться до 1-ї групи активів зі ступенем кредитного ризику 0 відсотків.</w:t>
      </w:r>
    </w:p>
    <w:p w14:paraId="4391B0C7" w14:textId="77777777" w:rsidR="00752554" w:rsidRPr="000E05A8" w:rsidRDefault="00752554" w:rsidP="00794809">
      <w:pPr>
        <w:ind w:firstLine="709"/>
        <w:jc w:val="both"/>
        <w:rPr>
          <w:sz w:val="22"/>
          <w:szCs w:val="22"/>
          <w:lang w:val="uk-UA"/>
        </w:rPr>
      </w:pPr>
      <w:r w:rsidRPr="000E05A8">
        <w:rPr>
          <w:sz w:val="22"/>
          <w:szCs w:val="22"/>
          <w:lang w:val="uk-UA"/>
        </w:rPr>
        <w:t>До заходів мінімізації впливу кредитного ризику Товариство відносить:</w:t>
      </w:r>
    </w:p>
    <w:p w14:paraId="47378EB8" w14:textId="77777777" w:rsidR="00752554" w:rsidRPr="000E05A8" w:rsidRDefault="00752554" w:rsidP="00794809">
      <w:pPr>
        <w:numPr>
          <w:ilvl w:val="0"/>
          <w:numId w:val="19"/>
        </w:numPr>
        <w:ind w:left="0" w:firstLine="709"/>
        <w:jc w:val="both"/>
        <w:rPr>
          <w:sz w:val="22"/>
          <w:szCs w:val="22"/>
          <w:lang w:val="uk-UA"/>
        </w:rPr>
      </w:pPr>
      <w:r w:rsidRPr="000E05A8">
        <w:rPr>
          <w:sz w:val="22"/>
          <w:szCs w:val="22"/>
          <w:lang w:val="uk-UA"/>
        </w:rPr>
        <w:t>встановлення внутрішнього обмеження</w:t>
      </w:r>
      <w:r w:rsidRPr="000E05A8">
        <w:rPr>
          <w:spacing w:val="-8"/>
          <w:sz w:val="22"/>
          <w:szCs w:val="22"/>
          <w:lang w:val="uk-UA"/>
        </w:rPr>
        <w:t xml:space="preserve"> обсягу дебіторської заборгованості в активах установи;</w:t>
      </w:r>
    </w:p>
    <w:p w14:paraId="396B0D2C" w14:textId="77777777" w:rsidR="00752554" w:rsidRPr="000E05A8" w:rsidRDefault="00752554" w:rsidP="00794809">
      <w:pPr>
        <w:numPr>
          <w:ilvl w:val="0"/>
          <w:numId w:val="19"/>
        </w:numPr>
        <w:ind w:left="0" w:firstLine="709"/>
        <w:jc w:val="both"/>
        <w:rPr>
          <w:spacing w:val="-8"/>
          <w:sz w:val="22"/>
          <w:szCs w:val="22"/>
          <w:lang w:val="uk-UA"/>
        </w:rPr>
      </w:pPr>
      <w:r w:rsidRPr="000E05A8">
        <w:rPr>
          <w:spacing w:val="-8"/>
          <w:sz w:val="22"/>
          <w:szCs w:val="22"/>
          <w:lang w:val="uk-UA"/>
        </w:rPr>
        <w:t>диверсифікацію структури активів установи;</w:t>
      </w:r>
    </w:p>
    <w:p w14:paraId="5AE53324" w14:textId="77777777" w:rsidR="00752554" w:rsidRPr="000E05A8" w:rsidRDefault="00752554" w:rsidP="00794809">
      <w:pPr>
        <w:numPr>
          <w:ilvl w:val="0"/>
          <w:numId w:val="19"/>
        </w:numPr>
        <w:ind w:left="0" w:firstLine="709"/>
        <w:jc w:val="both"/>
        <w:rPr>
          <w:sz w:val="22"/>
          <w:szCs w:val="22"/>
          <w:lang w:val="uk-UA"/>
        </w:rPr>
      </w:pPr>
      <w:r w:rsidRPr="000E05A8">
        <w:rPr>
          <w:sz w:val="22"/>
          <w:szCs w:val="22"/>
          <w:lang w:val="uk-UA"/>
        </w:rPr>
        <w:t>аналіз платоспроможності контрагентів;</w:t>
      </w:r>
    </w:p>
    <w:p w14:paraId="25E7C3F9" w14:textId="77777777" w:rsidR="00752554" w:rsidRPr="000E05A8" w:rsidRDefault="00752554" w:rsidP="00794809">
      <w:pPr>
        <w:numPr>
          <w:ilvl w:val="0"/>
          <w:numId w:val="19"/>
        </w:numPr>
        <w:ind w:left="0" w:firstLine="709"/>
        <w:jc w:val="both"/>
        <w:rPr>
          <w:sz w:val="22"/>
          <w:szCs w:val="22"/>
          <w:lang w:val="uk-UA"/>
        </w:rPr>
      </w:pPr>
      <w:r w:rsidRPr="000E05A8">
        <w:rPr>
          <w:sz w:val="22"/>
          <w:szCs w:val="22"/>
          <w:lang w:val="uk-UA"/>
        </w:rPr>
        <w:t>здійснення заходів щодо недопущення наявності в активах Товариства простроченої дебіторської заборгованості.</w:t>
      </w:r>
    </w:p>
    <w:p w14:paraId="4755DD68" w14:textId="77777777" w:rsidR="00752554" w:rsidRPr="000E05A8" w:rsidRDefault="00752554" w:rsidP="00794809">
      <w:pPr>
        <w:ind w:firstLine="709"/>
        <w:jc w:val="both"/>
        <w:rPr>
          <w:sz w:val="22"/>
          <w:szCs w:val="22"/>
          <w:lang w:val="uk-UA"/>
        </w:rPr>
      </w:pPr>
      <w:r w:rsidRPr="000E05A8">
        <w:rPr>
          <w:sz w:val="22"/>
          <w:szCs w:val="22"/>
          <w:lang w:val="uk-UA"/>
        </w:rPr>
        <w:t>У Товариства для внутрішньої системи заходів із запобігання та мінімізації впливу ризиків створені: система управління ризиками, внутрішній аудит (контроль).</w:t>
      </w:r>
    </w:p>
    <w:p w14:paraId="441BB03A" w14:textId="65E076E5" w:rsidR="00752554" w:rsidRPr="000E05A8" w:rsidRDefault="00752554" w:rsidP="00794809">
      <w:pPr>
        <w:ind w:firstLine="709"/>
        <w:jc w:val="both"/>
        <w:rPr>
          <w:b/>
          <w:bCs/>
          <w:spacing w:val="-2"/>
          <w:sz w:val="22"/>
          <w:szCs w:val="22"/>
          <w:lang w:val="uk-UA"/>
        </w:rPr>
      </w:pPr>
    </w:p>
    <w:p w14:paraId="75448BEA" w14:textId="77777777" w:rsidR="0014744C" w:rsidRPr="000E05A8" w:rsidRDefault="00752554" w:rsidP="00794809">
      <w:pPr>
        <w:ind w:firstLine="709"/>
        <w:jc w:val="both"/>
        <w:rPr>
          <w:b/>
          <w:bCs/>
          <w:sz w:val="22"/>
          <w:szCs w:val="22"/>
          <w:lang w:val="uk-UA"/>
        </w:rPr>
      </w:pPr>
      <w:r w:rsidRPr="000E05A8">
        <w:rPr>
          <w:b/>
          <w:bCs/>
          <w:spacing w:val="-2"/>
          <w:sz w:val="22"/>
          <w:szCs w:val="22"/>
          <w:lang w:val="uk-UA"/>
        </w:rPr>
        <w:t>Ринковий</w:t>
      </w:r>
      <w:r w:rsidR="00516FF4" w:rsidRPr="000E05A8">
        <w:rPr>
          <w:b/>
          <w:bCs/>
          <w:spacing w:val="-2"/>
          <w:sz w:val="22"/>
          <w:szCs w:val="22"/>
          <w:lang w:val="uk-UA"/>
        </w:rPr>
        <w:t xml:space="preserve"> </w:t>
      </w:r>
      <w:r w:rsidRPr="000E05A8">
        <w:rPr>
          <w:b/>
          <w:bCs/>
          <w:sz w:val="22"/>
          <w:szCs w:val="22"/>
          <w:lang w:val="uk-UA"/>
        </w:rPr>
        <w:t>ризик</w:t>
      </w:r>
    </w:p>
    <w:p w14:paraId="61B890F5" w14:textId="77777777" w:rsidR="00752554" w:rsidRPr="000E05A8" w:rsidRDefault="00752554" w:rsidP="00794809">
      <w:pPr>
        <w:ind w:firstLine="709"/>
        <w:jc w:val="both"/>
        <w:rPr>
          <w:sz w:val="22"/>
          <w:szCs w:val="22"/>
          <w:lang w:val="uk-UA"/>
        </w:rPr>
      </w:pPr>
      <w:r w:rsidRPr="000E05A8">
        <w:rPr>
          <w:sz w:val="22"/>
          <w:szCs w:val="22"/>
          <w:lang w:val="uk-UA"/>
        </w:rPr>
        <w:t>–</w:t>
      </w:r>
      <w:r w:rsidR="00516FF4" w:rsidRPr="000E05A8">
        <w:rPr>
          <w:sz w:val="22"/>
          <w:szCs w:val="22"/>
          <w:lang w:val="uk-UA"/>
        </w:rPr>
        <w:t xml:space="preserve"> </w:t>
      </w:r>
      <w:r w:rsidRPr="000E05A8">
        <w:rPr>
          <w:sz w:val="22"/>
          <w:szCs w:val="22"/>
          <w:lang w:val="uk-UA"/>
        </w:rPr>
        <w:t>це</w:t>
      </w:r>
      <w:r w:rsidR="00516FF4" w:rsidRPr="000E05A8">
        <w:rPr>
          <w:sz w:val="22"/>
          <w:szCs w:val="22"/>
          <w:lang w:val="uk-UA"/>
        </w:rPr>
        <w:t xml:space="preserve"> </w:t>
      </w:r>
      <w:r w:rsidRPr="000E05A8">
        <w:rPr>
          <w:sz w:val="22"/>
          <w:szCs w:val="22"/>
          <w:lang w:val="uk-UA"/>
        </w:rPr>
        <w:t>ризик</w:t>
      </w:r>
      <w:r w:rsidR="00516FF4" w:rsidRPr="000E05A8">
        <w:rPr>
          <w:sz w:val="22"/>
          <w:szCs w:val="22"/>
          <w:lang w:val="uk-UA"/>
        </w:rPr>
        <w:t xml:space="preserve"> </w:t>
      </w:r>
      <w:r w:rsidRPr="000E05A8">
        <w:rPr>
          <w:spacing w:val="-2"/>
          <w:sz w:val="22"/>
          <w:szCs w:val="22"/>
          <w:lang w:val="uk-UA"/>
        </w:rPr>
        <w:t>того,</w:t>
      </w:r>
      <w:r w:rsidR="00516FF4" w:rsidRPr="000E05A8">
        <w:rPr>
          <w:spacing w:val="-2"/>
          <w:sz w:val="22"/>
          <w:szCs w:val="22"/>
          <w:lang w:val="uk-UA"/>
        </w:rPr>
        <w:t xml:space="preserve"> </w:t>
      </w:r>
      <w:r w:rsidRPr="000E05A8">
        <w:rPr>
          <w:sz w:val="22"/>
          <w:szCs w:val="22"/>
          <w:lang w:val="uk-UA"/>
        </w:rPr>
        <w:t>що</w:t>
      </w:r>
      <w:r w:rsidR="00516FF4" w:rsidRPr="000E05A8">
        <w:rPr>
          <w:sz w:val="22"/>
          <w:szCs w:val="22"/>
          <w:lang w:val="uk-UA"/>
        </w:rPr>
        <w:t xml:space="preserve"> </w:t>
      </w:r>
      <w:r w:rsidRPr="000E05A8">
        <w:rPr>
          <w:spacing w:val="-2"/>
          <w:sz w:val="22"/>
          <w:szCs w:val="22"/>
          <w:lang w:val="uk-UA"/>
        </w:rPr>
        <w:t>справедлива</w:t>
      </w:r>
      <w:r w:rsidR="00516FF4" w:rsidRPr="000E05A8">
        <w:rPr>
          <w:spacing w:val="-2"/>
          <w:sz w:val="22"/>
          <w:szCs w:val="22"/>
          <w:lang w:val="uk-UA"/>
        </w:rPr>
        <w:t xml:space="preserve"> </w:t>
      </w:r>
      <w:r w:rsidRPr="000E05A8">
        <w:rPr>
          <w:spacing w:val="-2"/>
          <w:sz w:val="22"/>
          <w:szCs w:val="22"/>
          <w:lang w:val="uk-UA"/>
        </w:rPr>
        <w:t>вартість</w:t>
      </w:r>
      <w:r w:rsidR="00516FF4" w:rsidRPr="000E05A8">
        <w:rPr>
          <w:spacing w:val="-2"/>
          <w:sz w:val="22"/>
          <w:szCs w:val="22"/>
          <w:lang w:val="uk-UA"/>
        </w:rPr>
        <w:t xml:space="preserve"> </w:t>
      </w:r>
      <w:r w:rsidRPr="000E05A8">
        <w:rPr>
          <w:sz w:val="22"/>
          <w:szCs w:val="22"/>
          <w:lang w:val="uk-UA"/>
        </w:rPr>
        <w:t>або</w:t>
      </w:r>
      <w:r w:rsidR="00516FF4" w:rsidRPr="000E05A8">
        <w:rPr>
          <w:sz w:val="22"/>
          <w:szCs w:val="22"/>
          <w:lang w:val="uk-UA"/>
        </w:rPr>
        <w:t xml:space="preserve"> </w:t>
      </w:r>
      <w:r w:rsidRPr="000E05A8">
        <w:rPr>
          <w:spacing w:val="-2"/>
          <w:sz w:val="22"/>
          <w:szCs w:val="22"/>
          <w:lang w:val="uk-UA"/>
        </w:rPr>
        <w:t>майбутні</w:t>
      </w:r>
      <w:r w:rsidR="00516FF4" w:rsidRPr="000E05A8">
        <w:rPr>
          <w:spacing w:val="-2"/>
          <w:sz w:val="22"/>
          <w:szCs w:val="22"/>
          <w:lang w:val="uk-UA"/>
        </w:rPr>
        <w:t xml:space="preserve"> </w:t>
      </w:r>
      <w:r w:rsidRPr="000E05A8">
        <w:rPr>
          <w:sz w:val="22"/>
          <w:szCs w:val="22"/>
          <w:lang w:val="uk-UA"/>
        </w:rPr>
        <w:t>грошові</w:t>
      </w:r>
      <w:r w:rsidR="00516FF4" w:rsidRPr="000E05A8">
        <w:rPr>
          <w:sz w:val="22"/>
          <w:szCs w:val="22"/>
          <w:lang w:val="uk-UA"/>
        </w:rPr>
        <w:t xml:space="preserve"> </w:t>
      </w:r>
      <w:r w:rsidRPr="000E05A8">
        <w:rPr>
          <w:spacing w:val="-2"/>
          <w:sz w:val="22"/>
          <w:szCs w:val="22"/>
          <w:lang w:val="uk-UA"/>
        </w:rPr>
        <w:t>потоки</w:t>
      </w:r>
      <w:r w:rsidR="00516FF4" w:rsidRPr="000E05A8">
        <w:rPr>
          <w:spacing w:val="-2"/>
          <w:sz w:val="22"/>
          <w:szCs w:val="22"/>
          <w:lang w:val="uk-UA"/>
        </w:rPr>
        <w:t xml:space="preserve"> </w:t>
      </w:r>
      <w:r w:rsidRPr="000E05A8">
        <w:rPr>
          <w:sz w:val="22"/>
          <w:szCs w:val="22"/>
          <w:lang w:val="uk-UA"/>
        </w:rPr>
        <w:t>від</w:t>
      </w:r>
      <w:r w:rsidR="00516FF4" w:rsidRPr="000E05A8">
        <w:rPr>
          <w:sz w:val="22"/>
          <w:szCs w:val="22"/>
          <w:lang w:val="uk-UA"/>
        </w:rPr>
        <w:t xml:space="preserve"> </w:t>
      </w:r>
      <w:r w:rsidRPr="000E05A8">
        <w:rPr>
          <w:spacing w:val="-2"/>
          <w:sz w:val="22"/>
          <w:szCs w:val="22"/>
          <w:lang w:val="uk-UA"/>
        </w:rPr>
        <w:t>фінансового</w:t>
      </w:r>
      <w:r w:rsidR="00516FF4" w:rsidRPr="000E05A8">
        <w:rPr>
          <w:spacing w:val="-2"/>
          <w:sz w:val="22"/>
          <w:szCs w:val="22"/>
          <w:lang w:val="uk-UA"/>
        </w:rPr>
        <w:t xml:space="preserve"> </w:t>
      </w:r>
      <w:r w:rsidRPr="000E05A8">
        <w:rPr>
          <w:spacing w:val="-2"/>
          <w:sz w:val="22"/>
          <w:szCs w:val="22"/>
          <w:lang w:val="uk-UA"/>
        </w:rPr>
        <w:t>інструмента</w:t>
      </w:r>
      <w:r w:rsidR="00516FF4" w:rsidRPr="000E05A8">
        <w:rPr>
          <w:spacing w:val="-2"/>
          <w:sz w:val="22"/>
          <w:szCs w:val="22"/>
          <w:lang w:val="uk-UA"/>
        </w:rPr>
        <w:t xml:space="preserve"> </w:t>
      </w:r>
      <w:r w:rsidRPr="000E05A8">
        <w:rPr>
          <w:spacing w:val="-2"/>
          <w:sz w:val="22"/>
          <w:szCs w:val="22"/>
          <w:lang w:val="uk-UA"/>
        </w:rPr>
        <w:t>коливатимуться</w:t>
      </w:r>
      <w:r w:rsidR="00516FF4" w:rsidRPr="000E05A8">
        <w:rPr>
          <w:spacing w:val="-2"/>
          <w:sz w:val="22"/>
          <w:szCs w:val="22"/>
          <w:lang w:val="uk-UA"/>
        </w:rPr>
        <w:t xml:space="preserve"> </w:t>
      </w:r>
      <w:r w:rsidRPr="000E05A8">
        <w:rPr>
          <w:sz w:val="22"/>
          <w:szCs w:val="22"/>
          <w:lang w:val="uk-UA"/>
        </w:rPr>
        <w:t>внаслідок</w:t>
      </w:r>
      <w:r w:rsidR="00516FF4" w:rsidRPr="000E05A8">
        <w:rPr>
          <w:sz w:val="22"/>
          <w:szCs w:val="22"/>
          <w:lang w:val="uk-UA"/>
        </w:rPr>
        <w:t xml:space="preserve"> </w:t>
      </w:r>
      <w:r w:rsidRPr="000E05A8">
        <w:rPr>
          <w:spacing w:val="-2"/>
          <w:sz w:val="22"/>
          <w:szCs w:val="22"/>
          <w:lang w:val="uk-UA"/>
        </w:rPr>
        <w:t>змін</w:t>
      </w:r>
      <w:r w:rsidR="00516FF4" w:rsidRPr="000E05A8">
        <w:rPr>
          <w:spacing w:val="-2"/>
          <w:sz w:val="22"/>
          <w:szCs w:val="22"/>
          <w:lang w:val="uk-UA"/>
        </w:rPr>
        <w:t xml:space="preserve"> </w:t>
      </w:r>
      <w:r w:rsidRPr="000E05A8">
        <w:rPr>
          <w:spacing w:val="-2"/>
          <w:sz w:val="22"/>
          <w:szCs w:val="22"/>
          <w:lang w:val="uk-UA"/>
        </w:rPr>
        <w:t>ринкових</w:t>
      </w:r>
      <w:r w:rsidR="00516FF4" w:rsidRPr="000E05A8">
        <w:rPr>
          <w:spacing w:val="-2"/>
          <w:sz w:val="22"/>
          <w:szCs w:val="22"/>
          <w:lang w:val="uk-UA"/>
        </w:rPr>
        <w:t xml:space="preserve"> </w:t>
      </w:r>
      <w:r w:rsidRPr="000E05A8">
        <w:rPr>
          <w:sz w:val="22"/>
          <w:szCs w:val="22"/>
          <w:lang w:val="uk-UA"/>
        </w:rPr>
        <w:t>цін.</w:t>
      </w:r>
      <w:r w:rsidR="00516FF4" w:rsidRPr="000E05A8">
        <w:rPr>
          <w:sz w:val="22"/>
          <w:szCs w:val="22"/>
          <w:lang w:val="uk-UA"/>
        </w:rPr>
        <w:t xml:space="preserve"> </w:t>
      </w:r>
      <w:r w:rsidRPr="000E05A8">
        <w:rPr>
          <w:spacing w:val="-2"/>
          <w:sz w:val="22"/>
          <w:szCs w:val="22"/>
          <w:lang w:val="uk-UA"/>
        </w:rPr>
        <w:t>Ринковий</w:t>
      </w:r>
      <w:r w:rsidR="00516FF4" w:rsidRPr="000E05A8">
        <w:rPr>
          <w:spacing w:val="-2"/>
          <w:sz w:val="22"/>
          <w:szCs w:val="22"/>
          <w:lang w:val="uk-UA"/>
        </w:rPr>
        <w:t xml:space="preserve"> </w:t>
      </w:r>
      <w:r w:rsidRPr="000E05A8">
        <w:rPr>
          <w:sz w:val="22"/>
          <w:szCs w:val="22"/>
          <w:lang w:val="uk-UA"/>
        </w:rPr>
        <w:t>ризик</w:t>
      </w:r>
      <w:r w:rsidR="00516FF4" w:rsidRPr="000E05A8">
        <w:rPr>
          <w:sz w:val="22"/>
          <w:szCs w:val="22"/>
          <w:lang w:val="uk-UA"/>
        </w:rPr>
        <w:t xml:space="preserve"> </w:t>
      </w:r>
      <w:r w:rsidRPr="000E05A8">
        <w:rPr>
          <w:spacing w:val="-4"/>
          <w:sz w:val="22"/>
          <w:szCs w:val="22"/>
          <w:lang w:val="uk-UA"/>
        </w:rPr>
        <w:t>охоплює</w:t>
      </w:r>
      <w:r w:rsidR="00516FF4" w:rsidRPr="000E05A8">
        <w:rPr>
          <w:spacing w:val="-4"/>
          <w:sz w:val="22"/>
          <w:szCs w:val="22"/>
          <w:lang w:val="uk-UA"/>
        </w:rPr>
        <w:t xml:space="preserve"> </w:t>
      </w:r>
      <w:r w:rsidRPr="000E05A8">
        <w:rPr>
          <w:sz w:val="22"/>
          <w:szCs w:val="22"/>
          <w:lang w:val="uk-UA"/>
        </w:rPr>
        <w:t>три</w:t>
      </w:r>
      <w:r w:rsidR="00516FF4" w:rsidRPr="000E05A8">
        <w:rPr>
          <w:sz w:val="22"/>
          <w:szCs w:val="22"/>
          <w:lang w:val="uk-UA"/>
        </w:rPr>
        <w:t xml:space="preserve"> </w:t>
      </w:r>
      <w:r w:rsidRPr="000E05A8">
        <w:rPr>
          <w:sz w:val="22"/>
          <w:szCs w:val="22"/>
          <w:lang w:val="uk-UA"/>
        </w:rPr>
        <w:t>типи</w:t>
      </w:r>
      <w:r w:rsidR="00516FF4" w:rsidRPr="000E05A8">
        <w:rPr>
          <w:sz w:val="22"/>
          <w:szCs w:val="22"/>
          <w:lang w:val="uk-UA"/>
        </w:rPr>
        <w:t xml:space="preserve"> </w:t>
      </w:r>
      <w:r w:rsidRPr="000E05A8">
        <w:rPr>
          <w:spacing w:val="-2"/>
          <w:sz w:val="22"/>
          <w:szCs w:val="22"/>
          <w:lang w:val="uk-UA"/>
        </w:rPr>
        <w:t>ризику:</w:t>
      </w:r>
      <w:r w:rsidR="00516FF4" w:rsidRPr="000E05A8">
        <w:rPr>
          <w:spacing w:val="-2"/>
          <w:sz w:val="22"/>
          <w:szCs w:val="22"/>
          <w:lang w:val="uk-UA"/>
        </w:rPr>
        <w:t xml:space="preserve"> </w:t>
      </w:r>
      <w:r w:rsidRPr="000E05A8">
        <w:rPr>
          <w:sz w:val="22"/>
          <w:szCs w:val="22"/>
          <w:lang w:val="uk-UA"/>
        </w:rPr>
        <w:t>інший</w:t>
      </w:r>
      <w:r w:rsidR="00516FF4" w:rsidRPr="000E05A8">
        <w:rPr>
          <w:sz w:val="22"/>
          <w:szCs w:val="22"/>
          <w:lang w:val="uk-UA"/>
        </w:rPr>
        <w:t xml:space="preserve"> </w:t>
      </w:r>
      <w:r w:rsidRPr="000E05A8">
        <w:rPr>
          <w:sz w:val="22"/>
          <w:szCs w:val="22"/>
          <w:lang w:val="uk-UA"/>
        </w:rPr>
        <w:t>ціновий</w:t>
      </w:r>
      <w:r w:rsidR="00516FF4" w:rsidRPr="000E05A8">
        <w:rPr>
          <w:sz w:val="22"/>
          <w:szCs w:val="22"/>
          <w:lang w:val="uk-UA"/>
        </w:rPr>
        <w:t xml:space="preserve"> </w:t>
      </w:r>
      <w:r w:rsidRPr="000E05A8">
        <w:rPr>
          <w:sz w:val="22"/>
          <w:szCs w:val="22"/>
          <w:lang w:val="uk-UA"/>
        </w:rPr>
        <w:t>ризик,</w:t>
      </w:r>
      <w:r w:rsidR="00516FF4" w:rsidRPr="000E05A8">
        <w:rPr>
          <w:sz w:val="22"/>
          <w:szCs w:val="22"/>
          <w:lang w:val="uk-UA"/>
        </w:rPr>
        <w:t xml:space="preserve"> </w:t>
      </w:r>
      <w:r w:rsidRPr="000E05A8">
        <w:rPr>
          <w:spacing w:val="-2"/>
          <w:sz w:val="22"/>
          <w:szCs w:val="22"/>
          <w:lang w:val="uk-UA"/>
        </w:rPr>
        <w:t>валютний</w:t>
      </w:r>
      <w:r w:rsidR="00516FF4" w:rsidRPr="000E05A8">
        <w:rPr>
          <w:spacing w:val="-2"/>
          <w:sz w:val="22"/>
          <w:szCs w:val="22"/>
          <w:lang w:val="uk-UA"/>
        </w:rPr>
        <w:t xml:space="preserve"> </w:t>
      </w:r>
      <w:r w:rsidRPr="000E05A8">
        <w:rPr>
          <w:spacing w:val="2"/>
          <w:sz w:val="22"/>
          <w:szCs w:val="22"/>
          <w:lang w:val="uk-UA"/>
        </w:rPr>
        <w:t>та</w:t>
      </w:r>
      <w:r w:rsidR="00516FF4" w:rsidRPr="000E05A8">
        <w:rPr>
          <w:spacing w:val="2"/>
          <w:sz w:val="22"/>
          <w:szCs w:val="22"/>
          <w:lang w:val="uk-UA"/>
        </w:rPr>
        <w:t xml:space="preserve"> </w:t>
      </w:r>
      <w:r w:rsidRPr="000E05A8">
        <w:rPr>
          <w:spacing w:val="-2"/>
          <w:sz w:val="22"/>
          <w:szCs w:val="22"/>
          <w:lang w:val="uk-UA"/>
        </w:rPr>
        <w:t>відсотковий.</w:t>
      </w:r>
    </w:p>
    <w:p w14:paraId="009DF813" w14:textId="40EDB571" w:rsidR="00752554" w:rsidRPr="000E05A8" w:rsidRDefault="00752554" w:rsidP="00794809">
      <w:pPr>
        <w:ind w:firstLine="709"/>
        <w:jc w:val="both"/>
        <w:rPr>
          <w:spacing w:val="-2"/>
          <w:sz w:val="22"/>
          <w:szCs w:val="22"/>
          <w:lang w:val="uk-UA"/>
        </w:rPr>
      </w:pPr>
      <w:r w:rsidRPr="000E05A8">
        <w:rPr>
          <w:spacing w:val="-2"/>
          <w:sz w:val="22"/>
          <w:szCs w:val="22"/>
          <w:lang w:val="uk-UA"/>
        </w:rPr>
        <w:t xml:space="preserve">Враховуючи склад активів Товариства, суттєвим є </w:t>
      </w:r>
      <w:r w:rsidR="005C7CF2" w:rsidRPr="000E05A8">
        <w:rPr>
          <w:i/>
          <w:iCs/>
          <w:spacing w:val="-2"/>
          <w:sz w:val="22"/>
          <w:szCs w:val="22"/>
          <w:lang w:val="uk-UA"/>
        </w:rPr>
        <w:t>валютний</w:t>
      </w:r>
      <w:r w:rsidRPr="000E05A8">
        <w:rPr>
          <w:i/>
          <w:iCs/>
          <w:spacing w:val="-2"/>
          <w:sz w:val="22"/>
          <w:szCs w:val="22"/>
          <w:lang w:val="uk-UA"/>
        </w:rPr>
        <w:t xml:space="preserve"> ризик</w:t>
      </w:r>
      <w:r w:rsidRPr="000E05A8">
        <w:rPr>
          <w:spacing w:val="-2"/>
          <w:sz w:val="22"/>
          <w:szCs w:val="22"/>
          <w:lang w:val="uk-UA"/>
        </w:rPr>
        <w:t>.</w:t>
      </w:r>
    </w:p>
    <w:p w14:paraId="7A569008" w14:textId="77777777" w:rsidR="001F5E27" w:rsidRPr="000E05A8" w:rsidRDefault="001F5E27" w:rsidP="00794809">
      <w:pPr>
        <w:ind w:firstLine="709"/>
        <w:jc w:val="both"/>
        <w:rPr>
          <w:spacing w:val="-2"/>
          <w:sz w:val="22"/>
          <w:szCs w:val="22"/>
          <w:lang w:val="uk-UA"/>
        </w:rPr>
      </w:pPr>
    </w:p>
    <w:p w14:paraId="1BD35458" w14:textId="77777777" w:rsidR="00CA3852" w:rsidRPr="000E05A8" w:rsidRDefault="00CA3852" w:rsidP="00CA3852">
      <w:pPr>
        <w:ind w:firstLine="709"/>
        <w:jc w:val="both"/>
        <w:rPr>
          <w:spacing w:val="-2"/>
          <w:sz w:val="22"/>
          <w:szCs w:val="22"/>
          <w:lang w:val="uk-UA"/>
        </w:rPr>
      </w:pPr>
      <w:r w:rsidRPr="000E05A8">
        <w:rPr>
          <w:b/>
          <w:spacing w:val="-2"/>
          <w:sz w:val="22"/>
          <w:szCs w:val="22"/>
          <w:u w:val="single"/>
          <w:lang w:val="uk-UA"/>
        </w:rPr>
        <w:t>Валютний ризик</w:t>
      </w:r>
      <w:r w:rsidRPr="000E05A8">
        <w:rPr>
          <w:spacing w:val="-2"/>
          <w:sz w:val="22"/>
          <w:szCs w:val="22"/>
          <w:lang w:val="uk-UA"/>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w:t>
      </w:r>
    </w:p>
    <w:p w14:paraId="64DACAD9" w14:textId="77777777" w:rsidR="000C0C30" w:rsidRPr="000E05A8" w:rsidRDefault="00752554" w:rsidP="005D7179">
      <w:pPr>
        <w:ind w:firstLine="709"/>
        <w:jc w:val="both"/>
        <w:rPr>
          <w:spacing w:val="-2"/>
          <w:sz w:val="22"/>
          <w:szCs w:val="22"/>
          <w:lang w:val="uk-UA"/>
        </w:rPr>
      </w:pPr>
      <w:r w:rsidRPr="000E05A8">
        <w:rPr>
          <w:spacing w:val="-2"/>
          <w:sz w:val="22"/>
          <w:szCs w:val="22"/>
          <w:lang w:val="uk-UA"/>
        </w:rPr>
        <w:t xml:space="preserve">Товариство здійснює моніторинг </w:t>
      </w:r>
      <w:r w:rsidR="002B1165" w:rsidRPr="000E05A8">
        <w:rPr>
          <w:spacing w:val="-2"/>
          <w:sz w:val="22"/>
          <w:szCs w:val="22"/>
          <w:lang w:val="uk-UA"/>
        </w:rPr>
        <w:t>валютних</w:t>
      </w:r>
      <w:r w:rsidRPr="000E05A8">
        <w:rPr>
          <w:spacing w:val="-2"/>
          <w:sz w:val="22"/>
          <w:szCs w:val="22"/>
          <w:lang w:val="uk-UA"/>
        </w:rPr>
        <w:t xml:space="preserve"> </w:t>
      </w:r>
      <w:r w:rsidRPr="000E05A8">
        <w:rPr>
          <w:sz w:val="22"/>
          <w:szCs w:val="22"/>
          <w:lang w:val="uk-UA"/>
        </w:rPr>
        <w:t xml:space="preserve">ризиків </w:t>
      </w:r>
      <w:r w:rsidRPr="000E05A8">
        <w:rPr>
          <w:spacing w:val="2"/>
          <w:sz w:val="22"/>
          <w:szCs w:val="22"/>
          <w:lang w:val="uk-UA"/>
        </w:rPr>
        <w:t>та</w:t>
      </w:r>
      <w:r w:rsidRPr="000E05A8">
        <w:rPr>
          <w:spacing w:val="-2"/>
          <w:sz w:val="22"/>
          <w:szCs w:val="22"/>
          <w:lang w:val="uk-UA"/>
        </w:rPr>
        <w:t xml:space="preserve"> контролює </w:t>
      </w:r>
      <w:r w:rsidRPr="000E05A8">
        <w:rPr>
          <w:sz w:val="22"/>
          <w:szCs w:val="22"/>
          <w:lang w:val="uk-UA"/>
        </w:rPr>
        <w:t>їх</w:t>
      </w:r>
      <w:r w:rsidRPr="000E05A8">
        <w:rPr>
          <w:spacing w:val="-2"/>
          <w:sz w:val="22"/>
          <w:szCs w:val="22"/>
          <w:lang w:val="uk-UA"/>
        </w:rPr>
        <w:t xml:space="preserve"> максимально </w:t>
      </w:r>
      <w:r w:rsidRPr="000E05A8">
        <w:rPr>
          <w:sz w:val="22"/>
          <w:szCs w:val="22"/>
          <w:lang w:val="uk-UA"/>
        </w:rPr>
        <w:t>припустимий</w:t>
      </w:r>
      <w:r w:rsidRPr="000E05A8">
        <w:rPr>
          <w:spacing w:val="-2"/>
          <w:sz w:val="22"/>
          <w:szCs w:val="22"/>
          <w:lang w:val="uk-UA"/>
        </w:rPr>
        <w:t xml:space="preserve"> розмір. </w:t>
      </w:r>
      <w:r w:rsidR="00342C94" w:rsidRPr="000E05A8">
        <w:rPr>
          <w:spacing w:val="-2"/>
          <w:sz w:val="22"/>
          <w:szCs w:val="22"/>
          <w:lang w:val="uk-UA"/>
        </w:rPr>
        <w:t xml:space="preserve">Оцінка валютних ризиків здійснюється на основі аналізу чутливості. </w:t>
      </w:r>
    </w:p>
    <w:p w14:paraId="44570CEE" w14:textId="77777777" w:rsidR="00EF27ED" w:rsidRPr="000E05A8" w:rsidRDefault="000C0C30" w:rsidP="00EF27ED">
      <w:pPr>
        <w:ind w:firstLine="709"/>
        <w:jc w:val="both"/>
        <w:rPr>
          <w:sz w:val="22"/>
          <w:szCs w:val="22"/>
          <w:lang w:val="uk-UA"/>
        </w:rPr>
      </w:pPr>
      <w:r w:rsidRPr="000E05A8">
        <w:rPr>
          <w:sz w:val="22"/>
          <w:szCs w:val="22"/>
          <w:lang w:val="uk-UA"/>
        </w:rPr>
        <w:t>Визначення порогу чутливості керівництво Товариства здійснювало на основі статистичних даних НБУ щодо динаміки курсу гривні до іноземних валют, на основі яких була розрахована історична волатильність курсу, що визначається як стандартне відхилення річної дохідності від володіння іноземною валютою за період.</w:t>
      </w:r>
    </w:p>
    <w:p w14:paraId="0853AF9B" w14:textId="7270CE8E" w:rsidR="0015582E" w:rsidRPr="000E05A8" w:rsidRDefault="0015582E" w:rsidP="00EF27ED">
      <w:pPr>
        <w:ind w:firstLine="709"/>
        <w:jc w:val="both"/>
        <w:rPr>
          <w:sz w:val="22"/>
          <w:szCs w:val="22"/>
          <w:lang w:val="uk-UA"/>
        </w:rPr>
      </w:pPr>
      <w:r w:rsidRPr="000E05A8">
        <w:rPr>
          <w:sz w:val="22"/>
          <w:szCs w:val="22"/>
          <w:lang w:val="uk-UA"/>
        </w:rPr>
        <w:t xml:space="preserve">Валютні ризики Товариства виникають у зв’язку з володінням фінансовими інструментами, номінованими в іноземній валюті. Товариство інвестує кошти в цінні папери, номіновані в доларах США (державні облігації у доларах США/ єврооблігації України). Товариство визначило, що обґрунтовано можливим є коливання валютного курсу на </w:t>
      </w:r>
      <w:r w:rsidR="00322065" w:rsidRPr="000E05A8">
        <w:rPr>
          <w:sz w:val="22"/>
          <w:szCs w:val="22"/>
          <w:lang w:val="uk-UA"/>
        </w:rPr>
        <w:t>±2</w:t>
      </w:r>
      <w:r w:rsidR="007B4043" w:rsidRPr="000E05A8">
        <w:rPr>
          <w:sz w:val="22"/>
          <w:szCs w:val="22"/>
          <w:lang w:val="uk-UA"/>
        </w:rPr>
        <w:t>,</w:t>
      </w:r>
      <w:r w:rsidR="00343AA4" w:rsidRPr="000E05A8">
        <w:rPr>
          <w:sz w:val="22"/>
          <w:szCs w:val="22"/>
          <w:lang w:val="uk-UA"/>
        </w:rPr>
        <w:t>24</w:t>
      </w:r>
      <w:r w:rsidR="007B4043" w:rsidRPr="000E05A8">
        <w:rPr>
          <w:sz w:val="22"/>
          <w:szCs w:val="22"/>
          <w:lang w:val="uk-UA"/>
        </w:rPr>
        <w:t xml:space="preserve"> </w:t>
      </w:r>
      <w:r w:rsidRPr="000E05A8">
        <w:rPr>
          <w:sz w:val="22"/>
          <w:szCs w:val="22"/>
          <w:lang w:val="uk-UA"/>
        </w:rPr>
        <w:t>відсотка.</w:t>
      </w:r>
    </w:p>
    <w:p w14:paraId="0D847F10" w14:textId="731158B2" w:rsidR="0015582E" w:rsidRPr="000E05A8" w:rsidRDefault="0015582E" w:rsidP="0015582E">
      <w:pPr>
        <w:shd w:val="clear" w:color="auto" w:fill="FFFFFF"/>
        <w:autoSpaceDE w:val="0"/>
        <w:autoSpaceDN w:val="0"/>
        <w:adjustRightInd w:val="0"/>
        <w:spacing w:after="120" w:line="300" w:lineRule="exact"/>
        <w:ind w:firstLine="397"/>
        <w:jc w:val="center"/>
        <w:rPr>
          <w:sz w:val="22"/>
          <w:szCs w:val="22"/>
          <w:lang w:val="uk-UA"/>
        </w:rPr>
      </w:pPr>
      <w:r w:rsidRPr="000E05A8">
        <w:rPr>
          <w:sz w:val="22"/>
          <w:szCs w:val="22"/>
          <w:lang w:val="uk-UA"/>
        </w:rPr>
        <w:t>Чутливі до коливань валютного курсу активи</w:t>
      </w:r>
      <w:r w:rsidR="0076259E" w:rsidRPr="000E05A8">
        <w:rPr>
          <w:sz w:val="22"/>
          <w:szCs w:val="22"/>
          <w:lang w:val="uk-UA"/>
        </w:rPr>
        <w:t>, тис. грн.</w:t>
      </w:r>
    </w:p>
    <w:tbl>
      <w:tblPr>
        <w:tblW w:w="9875" w:type="dxa"/>
        <w:tblInd w:w="40" w:type="dxa"/>
        <w:tblLayout w:type="fixed"/>
        <w:tblCellMar>
          <w:left w:w="40" w:type="dxa"/>
          <w:right w:w="40" w:type="dxa"/>
        </w:tblCellMar>
        <w:tblLook w:val="0000" w:firstRow="0" w:lastRow="0" w:firstColumn="0" w:lastColumn="0" w:noHBand="0" w:noVBand="0"/>
      </w:tblPr>
      <w:tblGrid>
        <w:gridCol w:w="7607"/>
        <w:gridCol w:w="2268"/>
      </w:tblGrid>
      <w:tr w:rsidR="00310848" w:rsidRPr="000D475D" w14:paraId="367EF84F" w14:textId="77777777" w:rsidTr="000D475D">
        <w:trPr>
          <w:trHeight w:hRule="exact" w:val="341"/>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2F0B53AB" w14:textId="77777777" w:rsidR="00310848" w:rsidRPr="000D475D" w:rsidRDefault="00310848" w:rsidP="00C87439">
            <w:pPr>
              <w:shd w:val="clear" w:color="auto" w:fill="FFFFFF"/>
              <w:jc w:val="center"/>
              <w:rPr>
                <w:sz w:val="20"/>
                <w:szCs w:val="20"/>
                <w:lang w:val="uk-UA"/>
              </w:rPr>
            </w:pPr>
            <w:r w:rsidRPr="000D475D">
              <w:rPr>
                <w:sz w:val="20"/>
                <w:szCs w:val="20"/>
                <w:lang w:val="uk-UA"/>
              </w:rPr>
              <w:t>Активи номіновані в іноземній валюті</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0958C34" w14:textId="730CD152" w:rsidR="00310848" w:rsidRPr="000D475D" w:rsidRDefault="00511914" w:rsidP="00C87439">
            <w:pPr>
              <w:shd w:val="clear" w:color="auto" w:fill="FFFFFF"/>
              <w:ind w:left="110"/>
              <w:rPr>
                <w:sz w:val="20"/>
                <w:szCs w:val="20"/>
              </w:rPr>
            </w:pPr>
            <w:r>
              <w:rPr>
                <w:sz w:val="20"/>
                <w:szCs w:val="20"/>
                <w:lang w:val="uk-UA"/>
              </w:rPr>
              <w:t>31</w:t>
            </w:r>
            <w:r w:rsidR="00310848" w:rsidRPr="000D475D">
              <w:rPr>
                <w:sz w:val="20"/>
                <w:szCs w:val="20"/>
                <w:lang w:val="uk-UA"/>
              </w:rPr>
              <w:t xml:space="preserve"> </w:t>
            </w:r>
            <w:r>
              <w:rPr>
                <w:sz w:val="20"/>
                <w:szCs w:val="20"/>
                <w:lang w:val="uk-UA"/>
              </w:rPr>
              <w:t>березня</w:t>
            </w:r>
            <w:r w:rsidR="00310848" w:rsidRPr="000D475D">
              <w:rPr>
                <w:sz w:val="20"/>
                <w:szCs w:val="20"/>
                <w:lang w:val="uk-UA"/>
              </w:rPr>
              <w:t xml:space="preserve"> 202</w:t>
            </w:r>
            <w:r>
              <w:rPr>
                <w:sz w:val="20"/>
                <w:szCs w:val="20"/>
                <w:lang w:val="uk-UA"/>
              </w:rPr>
              <w:t>1</w:t>
            </w:r>
          </w:p>
        </w:tc>
      </w:tr>
      <w:tr w:rsidR="00310848" w:rsidRPr="000D475D" w14:paraId="2791B57C" w14:textId="77777777" w:rsidTr="000D475D">
        <w:trPr>
          <w:trHeight w:hRule="exact" w:val="854"/>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6D5A9D62" w14:textId="77777777" w:rsidR="00995344" w:rsidRPr="000D475D" w:rsidRDefault="00995344" w:rsidP="00995344">
            <w:pPr>
              <w:shd w:val="clear" w:color="auto" w:fill="FFFFFF"/>
              <w:rPr>
                <w:spacing w:val="-4"/>
                <w:sz w:val="20"/>
                <w:szCs w:val="20"/>
                <w:lang w:val="uk-UA"/>
              </w:rPr>
            </w:pPr>
            <w:r w:rsidRPr="000D475D">
              <w:rPr>
                <w:spacing w:val="-4"/>
                <w:sz w:val="20"/>
                <w:szCs w:val="20"/>
                <w:lang w:val="uk-UA"/>
              </w:rPr>
              <w:t>Облігації, погашення та отримання доходу за якими</w:t>
            </w:r>
          </w:p>
          <w:p w14:paraId="485499DC" w14:textId="77777777" w:rsidR="00995344" w:rsidRPr="000D475D" w:rsidRDefault="00995344" w:rsidP="00995344">
            <w:pPr>
              <w:shd w:val="clear" w:color="auto" w:fill="FFFFFF"/>
              <w:rPr>
                <w:spacing w:val="-4"/>
                <w:sz w:val="20"/>
                <w:szCs w:val="20"/>
                <w:lang w:val="uk-UA"/>
              </w:rPr>
            </w:pPr>
            <w:r w:rsidRPr="000D475D">
              <w:rPr>
                <w:spacing w:val="-4"/>
                <w:sz w:val="20"/>
                <w:szCs w:val="20"/>
                <w:lang w:val="uk-UA"/>
              </w:rPr>
              <w:t>гарантовано Кабінетом Міністрів України</w:t>
            </w:r>
          </w:p>
          <w:p w14:paraId="4008C83D" w14:textId="709F5E11" w:rsidR="00310848" w:rsidRPr="000D475D" w:rsidRDefault="00995344" w:rsidP="00995344">
            <w:pPr>
              <w:shd w:val="clear" w:color="auto" w:fill="FFFFFF"/>
              <w:rPr>
                <w:sz w:val="20"/>
                <w:szCs w:val="20"/>
              </w:rPr>
            </w:pPr>
            <w:r w:rsidRPr="000D475D">
              <w:rPr>
                <w:spacing w:val="-4"/>
                <w:sz w:val="20"/>
                <w:szCs w:val="20"/>
                <w:lang w:val="uk-UA"/>
              </w:rPr>
              <w:t>(номіновані у доларах США), по курсу НБУ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BF6A853" w14:textId="3249B3D8" w:rsidR="00310848" w:rsidRPr="000D475D" w:rsidRDefault="002C6F57" w:rsidP="00C87439">
            <w:pPr>
              <w:shd w:val="clear" w:color="auto" w:fill="FFFFFF"/>
              <w:ind w:left="682"/>
              <w:rPr>
                <w:sz w:val="20"/>
                <w:szCs w:val="20"/>
              </w:rPr>
            </w:pPr>
            <w:r w:rsidRPr="000D475D">
              <w:rPr>
                <w:bCs/>
                <w:sz w:val="20"/>
                <w:szCs w:val="20"/>
                <w:lang w:val="uk-UA"/>
              </w:rPr>
              <w:t>6 895</w:t>
            </w:r>
          </w:p>
        </w:tc>
      </w:tr>
      <w:tr w:rsidR="00343AA4" w:rsidRPr="000D475D" w14:paraId="5B9AF36A" w14:textId="77777777" w:rsidTr="000D475D">
        <w:trPr>
          <w:trHeight w:hRule="exact" w:val="505"/>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186C9BB3" w14:textId="7D541A4A" w:rsidR="00343AA4" w:rsidRPr="000D475D" w:rsidRDefault="0055230C" w:rsidP="00C87439">
            <w:pPr>
              <w:shd w:val="clear" w:color="auto" w:fill="FFFFFF"/>
              <w:rPr>
                <w:bCs/>
                <w:sz w:val="20"/>
                <w:szCs w:val="20"/>
                <w:lang w:val="uk-UA"/>
              </w:rPr>
            </w:pPr>
            <w:r w:rsidRPr="000D475D">
              <w:rPr>
                <w:bCs/>
                <w:sz w:val="20"/>
                <w:szCs w:val="20"/>
                <w:lang w:val="uk-UA"/>
              </w:rPr>
              <w:t xml:space="preserve">Купонний дохід за </w:t>
            </w:r>
            <w:r w:rsidR="00426036" w:rsidRPr="000D475D">
              <w:rPr>
                <w:bCs/>
                <w:sz w:val="20"/>
                <w:szCs w:val="20"/>
                <w:lang w:val="uk-UA"/>
              </w:rPr>
              <w:t>облігаціями</w:t>
            </w:r>
            <w:r w:rsidR="0088798F" w:rsidRPr="000D475D">
              <w:rPr>
                <w:bCs/>
                <w:sz w:val="20"/>
                <w:szCs w:val="20"/>
                <w:lang w:val="uk-UA"/>
              </w:rPr>
              <w:t xml:space="preserve"> (нарахування та </w:t>
            </w:r>
            <w:r w:rsidR="008B3702" w:rsidRPr="000D475D">
              <w:rPr>
                <w:bCs/>
                <w:sz w:val="20"/>
                <w:szCs w:val="20"/>
                <w:lang w:val="uk-UA"/>
              </w:rPr>
              <w:t xml:space="preserve">оплата в </w:t>
            </w:r>
            <w:r w:rsidR="008B3702" w:rsidRPr="000D475D">
              <w:rPr>
                <w:spacing w:val="-4"/>
                <w:sz w:val="20"/>
                <w:szCs w:val="20"/>
                <w:lang w:val="uk-UA"/>
              </w:rPr>
              <w:t>номіновані у доларах США)</w:t>
            </w:r>
            <w:r w:rsidR="00426036" w:rsidRPr="000D475D">
              <w:rPr>
                <w:bCs/>
                <w:sz w:val="20"/>
                <w:szCs w:val="20"/>
                <w:lang w:val="uk-UA"/>
              </w:rPr>
              <w:t>, по курсу НБУ</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99DF3B4" w14:textId="1C01458D" w:rsidR="00343AA4" w:rsidRPr="000D475D" w:rsidRDefault="00F2587A" w:rsidP="00C87439">
            <w:pPr>
              <w:shd w:val="clear" w:color="auto" w:fill="FFFFFF"/>
              <w:ind w:left="758"/>
              <w:rPr>
                <w:bCs/>
                <w:sz w:val="20"/>
                <w:szCs w:val="20"/>
                <w:lang w:val="en-US"/>
              </w:rPr>
            </w:pPr>
            <w:r w:rsidRPr="000D475D">
              <w:rPr>
                <w:bCs/>
                <w:sz w:val="20"/>
                <w:szCs w:val="20"/>
                <w:lang w:val="en-US"/>
              </w:rPr>
              <w:t>115</w:t>
            </w:r>
          </w:p>
        </w:tc>
      </w:tr>
      <w:tr w:rsidR="00310848" w:rsidRPr="000D475D" w14:paraId="5709A053" w14:textId="77777777" w:rsidTr="000D475D">
        <w:trPr>
          <w:trHeight w:hRule="exact" w:val="326"/>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294BBC06" w14:textId="77777777" w:rsidR="00310848" w:rsidRPr="000D475D" w:rsidRDefault="00310848" w:rsidP="00C87439">
            <w:pPr>
              <w:shd w:val="clear" w:color="auto" w:fill="FFFFFF"/>
              <w:rPr>
                <w:b/>
                <w:i/>
                <w:iCs/>
                <w:sz w:val="20"/>
                <w:szCs w:val="20"/>
              </w:rPr>
            </w:pPr>
            <w:r w:rsidRPr="000D475D">
              <w:rPr>
                <w:b/>
                <w:i/>
                <w:iCs/>
                <w:sz w:val="20"/>
                <w:szCs w:val="20"/>
                <w:lang w:val="uk-UA"/>
              </w:rPr>
              <w:t>Всього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978FE28" w14:textId="0C33DA11" w:rsidR="00310848" w:rsidRPr="000D475D" w:rsidRDefault="00BA05DD" w:rsidP="00C87439">
            <w:pPr>
              <w:shd w:val="clear" w:color="auto" w:fill="FFFFFF"/>
              <w:ind w:left="758"/>
              <w:rPr>
                <w:b/>
                <w:i/>
                <w:iCs/>
                <w:sz w:val="20"/>
                <w:szCs w:val="20"/>
                <w:lang w:val="en-US"/>
              </w:rPr>
            </w:pPr>
            <w:r w:rsidRPr="000D475D">
              <w:rPr>
                <w:b/>
                <w:i/>
                <w:iCs/>
                <w:sz w:val="20"/>
                <w:szCs w:val="20"/>
                <w:lang w:val="en-US"/>
              </w:rPr>
              <w:t>7</w:t>
            </w:r>
            <w:r w:rsidR="005954F5" w:rsidRPr="000D475D">
              <w:rPr>
                <w:b/>
                <w:i/>
                <w:iCs/>
                <w:sz w:val="20"/>
                <w:szCs w:val="20"/>
                <w:lang w:val="en-US"/>
              </w:rPr>
              <w:t xml:space="preserve"> </w:t>
            </w:r>
            <w:r w:rsidRPr="000D475D">
              <w:rPr>
                <w:b/>
                <w:i/>
                <w:iCs/>
                <w:sz w:val="20"/>
                <w:szCs w:val="20"/>
                <w:lang w:val="en-US"/>
              </w:rPr>
              <w:t>010</w:t>
            </w:r>
          </w:p>
        </w:tc>
      </w:tr>
      <w:tr w:rsidR="00310848" w:rsidRPr="000D475D" w14:paraId="4CDBFCE1" w14:textId="77777777" w:rsidTr="000D475D">
        <w:trPr>
          <w:trHeight w:hRule="exact" w:val="326"/>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4A840B54" w14:textId="6A9E3DDC" w:rsidR="00310848" w:rsidRPr="000D475D" w:rsidRDefault="00310848" w:rsidP="00C87439">
            <w:pPr>
              <w:shd w:val="clear" w:color="auto" w:fill="FFFFFF"/>
              <w:rPr>
                <w:b/>
                <w:i/>
                <w:iCs/>
                <w:sz w:val="20"/>
                <w:szCs w:val="20"/>
                <w:lang w:val="uk-UA"/>
              </w:rPr>
            </w:pPr>
            <w:r w:rsidRPr="000D475D">
              <w:rPr>
                <w:b/>
                <w:i/>
                <w:iCs/>
                <w:sz w:val="20"/>
                <w:szCs w:val="20"/>
                <w:lang w:val="uk-UA"/>
              </w:rPr>
              <w:t>Частка в активах Товариства,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6B38229" w14:textId="123BC819" w:rsidR="00310848" w:rsidRPr="000D475D" w:rsidRDefault="00DB0ED9" w:rsidP="00C87439">
            <w:pPr>
              <w:shd w:val="clear" w:color="auto" w:fill="FFFFFF"/>
              <w:ind w:left="758"/>
              <w:rPr>
                <w:b/>
                <w:i/>
                <w:iCs/>
                <w:sz w:val="20"/>
                <w:szCs w:val="20"/>
                <w:lang w:val="uk-UA"/>
              </w:rPr>
            </w:pPr>
            <w:r w:rsidRPr="000D475D">
              <w:rPr>
                <w:b/>
                <w:bCs/>
                <w:i/>
                <w:iCs/>
                <w:sz w:val="20"/>
                <w:szCs w:val="20"/>
                <w:lang w:val="en-US"/>
              </w:rPr>
              <w:t>97</w:t>
            </w:r>
            <w:r w:rsidRPr="000D475D">
              <w:rPr>
                <w:b/>
                <w:bCs/>
                <w:i/>
                <w:iCs/>
                <w:sz w:val="20"/>
                <w:szCs w:val="20"/>
                <w:lang w:val="uk-UA"/>
              </w:rPr>
              <w:t>,</w:t>
            </w:r>
            <w:r w:rsidRPr="000D475D">
              <w:rPr>
                <w:b/>
                <w:bCs/>
                <w:i/>
                <w:iCs/>
                <w:sz w:val="20"/>
                <w:szCs w:val="20"/>
                <w:lang w:val="en-US"/>
              </w:rPr>
              <w:t>52</w:t>
            </w:r>
            <w:r w:rsidR="009B421D" w:rsidRPr="000D475D">
              <w:rPr>
                <w:b/>
                <w:i/>
                <w:iCs/>
                <w:sz w:val="20"/>
                <w:szCs w:val="20"/>
                <w:lang w:val="uk-UA"/>
              </w:rPr>
              <w:t xml:space="preserve"> %</w:t>
            </w:r>
          </w:p>
        </w:tc>
      </w:tr>
    </w:tbl>
    <w:p w14:paraId="0565ACC5" w14:textId="4A1082B0" w:rsidR="0015582E" w:rsidRPr="000E05A8" w:rsidRDefault="0015582E" w:rsidP="0015582E">
      <w:pPr>
        <w:shd w:val="clear" w:color="auto" w:fill="FFFFFF"/>
        <w:autoSpaceDE w:val="0"/>
        <w:autoSpaceDN w:val="0"/>
        <w:adjustRightInd w:val="0"/>
        <w:spacing w:after="60" w:line="300" w:lineRule="exact"/>
        <w:ind w:firstLine="397"/>
        <w:jc w:val="both"/>
        <w:rPr>
          <w:sz w:val="22"/>
          <w:szCs w:val="22"/>
          <w:lang w:val="uk-UA"/>
        </w:rPr>
      </w:pPr>
      <w:r w:rsidRPr="000E05A8">
        <w:rPr>
          <w:sz w:val="22"/>
          <w:szCs w:val="22"/>
          <w:lang w:val="uk-UA"/>
        </w:rPr>
        <w:lastRenderedPageBreak/>
        <w:t xml:space="preserve">Аналіз чутливості до валютних ризиків проведено на основі історичних даних щодо волатильності </w:t>
      </w:r>
      <w:r w:rsidR="00C85CA7" w:rsidRPr="000E05A8">
        <w:rPr>
          <w:sz w:val="22"/>
          <w:szCs w:val="22"/>
          <w:lang w:val="uk-UA"/>
        </w:rPr>
        <w:t xml:space="preserve">середньомісячних </w:t>
      </w:r>
      <w:r w:rsidRPr="000E05A8">
        <w:rPr>
          <w:sz w:val="22"/>
          <w:szCs w:val="22"/>
          <w:lang w:val="uk-UA"/>
        </w:rPr>
        <w:t>курсів іноземних валют</w:t>
      </w:r>
      <w:r w:rsidR="00B6791B" w:rsidRPr="000E05A8">
        <w:rPr>
          <w:sz w:val="22"/>
          <w:szCs w:val="22"/>
          <w:lang w:val="uk-UA"/>
        </w:rPr>
        <w:t xml:space="preserve"> за період 2019</w:t>
      </w:r>
      <w:r w:rsidR="00FE7F6F" w:rsidRPr="000E05A8">
        <w:rPr>
          <w:sz w:val="22"/>
          <w:szCs w:val="22"/>
          <w:lang w:val="uk-UA"/>
        </w:rPr>
        <w:t>-202</w:t>
      </w:r>
      <w:r w:rsidR="002C6F57" w:rsidRPr="000E05A8">
        <w:rPr>
          <w:sz w:val="22"/>
          <w:szCs w:val="22"/>
          <w:lang w:val="uk-UA"/>
        </w:rPr>
        <w:t>1</w:t>
      </w:r>
      <w:r w:rsidR="00FE7F6F" w:rsidRPr="000E05A8">
        <w:rPr>
          <w:sz w:val="22"/>
          <w:szCs w:val="22"/>
          <w:lang w:val="uk-UA"/>
        </w:rPr>
        <w:t xml:space="preserve"> років</w:t>
      </w:r>
      <w:r w:rsidRPr="000E05A8">
        <w:rPr>
          <w:sz w:val="22"/>
          <w:szCs w:val="22"/>
          <w:lang w:val="uk-UA"/>
        </w:rPr>
        <w:t>.</w:t>
      </w:r>
    </w:p>
    <w:p w14:paraId="28A1AE3A" w14:textId="77777777" w:rsidR="0015582E" w:rsidRPr="000D475D" w:rsidRDefault="0015582E" w:rsidP="0015582E">
      <w:pPr>
        <w:shd w:val="clear" w:color="auto" w:fill="FFFFFF"/>
        <w:autoSpaceDE w:val="0"/>
        <w:autoSpaceDN w:val="0"/>
        <w:adjustRightInd w:val="0"/>
        <w:spacing w:after="120" w:line="300" w:lineRule="exact"/>
        <w:ind w:firstLine="397"/>
        <w:jc w:val="center"/>
        <w:rPr>
          <w:b/>
          <w:bCs/>
          <w:sz w:val="22"/>
          <w:szCs w:val="22"/>
          <w:lang w:val="uk-UA"/>
        </w:rPr>
      </w:pPr>
      <w:r w:rsidRPr="000D475D">
        <w:rPr>
          <w:b/>
          <w:bCs/>
          <w:sz w:val="22"/>
          <w:szCs w:val="22"/>
          <w:lang w:val="uk-UA"/>
        </w:rPr>
        <w:t>Валютні ризики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780"/>
        <w:gridCol w:w="711"/>
        <w:gridCol w:w="2268"/>
        <w:gridCol w:w="2091"/>
      </w:tblGrid>
      <w:tr w:rsidR="0015582E" w:rsidRPr="000D475D" w14:paraId="5824DBB3" w14:textId="77777777" w:rsidTr="005E7575">
        <w:tc>
          <w:tcPr>
            <w:tcW w:w="2093" w:type="dxa"/>
            <w:vMerge w:val="restart"/>
            <w:shd w:val="clear" w:color="auto" w:fill="auto"/>
          </w:tcPr>
          <w:p w14:paraId="5DA5A46F" w14:textId="77777777"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Валюта</w:t>
            </w:r>
          </w:p>
        </w:tc>
        <w:tc>
          <w:tcPr>
            <w:tcW w:w="1843" w:type="dxa"/>
            <w:vMerge w:val="restart"/>
            <w:shd w:val="clear" w:color="auto" w:fill="auto"/>
          </w:tcPr>
          <w:p w14:paraId="36A22D76" w14:textId="2413476C"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Сума</w:t>
            </w:r>
            <w:r w:rsidR="00370DCA" w:rsidRPr="000D475D">
              <w:rPr>
                <w:rFonts w:eastAsia="Calibri"/>
                <w:bCs/>
                <w:sz w:val="20"/>
                <w:szCs w:val="20"/>
                <w:lang w:val="uk-UA" w:eastAsia="uk-UA"/>
              </w:rPr>
              <w:t>, дол</w:t>
            </w:r>
            <w:r w:rsidR="001D4E9D" w:rsidRPr="000D475D">
              <w:rPr>
                <w:rFonts w:eastAsia="Calibri"/>
                <w:bCs/>
                <w:sz w:val="20"/>
                <w:szCs w:val="20"/>
                <w:lang w:val="uk-UA" w:eastAsia="uk-UA"/>
              </w:rPr>
              <w:t>.</w:t>
            </w:r>
            <w:r w:rsidR="00370DCA" w:rsidRPr="000D475D">
              <w:rPr>
                <w:rFonts w:eastAsia="Calibri"/>
                <w:bCs/>
                <w:sz w:val="20"/>
                <w:szCs w:val="20"/>
                <w:lang w:val="uk-UA" w:eastAsia="uk-UA"/>
              </w:rPr>
              <w:t xml:space="preserve"> США</w:t>
            </w:r>
          </w:p>
        </w:tc>
        <w:tc>
          <w:tcPr>
            <w:tcW w:w="1491" w:type="dxa"/>
            <w:gridSpan w:val="2"/>
            <w:shd w:val="clear" w:color="auto" w:fill="auto"/>
          </w:tcPr>
          <w:p w14:paraId="06B6DA5E" w14:textId="77777777"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Стандартне відхилення, % (зміни)</w:t>
            </w:r>
          </w:p>
        </w:tc>
        <w:tc>
          <w:tcPr>
            <w:tcW w:w="4359" w:type="dxa"/>
            <w:gridSpan w:val="2"/>
            <w:shd w:val="clear" w:color="auto" w:fill="auto"/>
          </w:tcPr>
          <w:p w14:paraId="2FE3FB1A" w14:textId="77777777" w:rsidR="0015582E" w:rsidRPr="000D475D" w:rsidRDefault="0015582E" w:rsidP="00C87439">
            <w:pPr>
              <w:autoSpaceDE w:val="0"/>
              <w:autoSpaceDN w:val="0"/>
              <w:adjustRightInd w:val="0"/>
              <w:spacing w:after="60" w:line="300" w:lineRule="exact"/>
              <w:jc w:val="center"/>
              <w:rPr>
                <w:sz w:val="20"/>
                <w:szCs w:val="20"/>
                <w:lang w:val="uk-UA"/>
              </w:rPr>
            </w:pPr>
            <w:r w:rsidRPr="000D475D">
              <w:rPr>
                <w:rFonts w:eastAsia="Calibri"/>
                <w:bCs/>
                <w:sz w:val="20"/>
                <w:szCs w:val="20"/>
                <w:lang w:val="uk-UA" w:eastAsia="uk-UA"/>
              </w:rPr>
              <w:t xml:space="preserve">Потенційний вплив на активи Товариства </w:t>
            </w:r>
          </w:p>
        </w:tc>
      </w:tr>
      <w:tr w:rsidR="0015582E" w:rsidRPr="000D475D" w14:paraId="1AB77A59" w14:textId="77777777" w:rsidTr="005E7575">
        <w:tc>
          <w:tcPr>
            <w:tcW w:w="2093" w:type="dxa"/>
            <w:vMerge/>
            <w:shd w:val="clear" w:color="auto" w:fill="auto"/>
          </w:tcPr>
          <w:p w14:paraId="190D5844" w14:textId="77777777" w:rsidR="0015582E" w:rsidRPr="000D475D" w:rsidRDefault="0015582E" w:rsidP="00C87439">
            <w:pPr>
              <w:autoSpaceDE w:val="0"/>
              <w:autoSpaceDN w:val="0"/>
              <w:adjustRightInd w:val="0"/>
              <w:spacing w:after="60" w:line="300" w:lineRule="exact"/>
              <w:jc w:val="both"/>
              <w:rPr>
                <w:sz w:val="20"/>
                <w:szCs w:val="20"/>
                <w:lang w:val="uk-UA"/>
              </w:rPr>
            </w:pPr>
          </w:p>
        </w:tc>
        <w:tc>
          <w:tcPr>
            <w:tcW w:w="1843" w:type="dxa"/>
            <w:vMerge/>
            <w:shd w:val="clear" w:color="auto" w:fill="auto"/>
          </w:tcPr>
          <w:p w14:paraId="2FFFF44F" w14:textId="77777777" w:rsidR="0015582E" w:rsidRPr="000D475D" w:rsidRDefault="0015582E" w:rsidP="00C87439">
            <w:pPr>
              <w:autoSpaceDE w:val="0"/>
              <w:autoSpaceDN w:val="0"/>
              <w:adjustRightInd w:val="0"/>
              <w:spacing w:after="60" w:line="300" w:lineRule="exact"/>
              <w:jc w:val="both"/>
              <w:rPr>
                <w:sz w:val="20"/>
                <w:szCs w:val="20"/>
                <w:lang w:val="uk-UA"/>
              </w:rPr>
            </w:pPr>
          </w:p>
        </w:tc>
        <w:tc>
          <w:tcPr>
            <w:tcW w:w="780" w:type="dxa"/>
            <w:shd w:val="clear" w:color="auto" w:fill="auto"/>
          </w:tcPr>
          <w:p w14:paraId="094C38BE" w14:textId="77777777" w:rsidR="0015582E" w:rsidRPr="000D475D" w:rsidRDefault="0015582E" w:rsidP="00C87439">
            <w:pPr>
              <w:autoSpaceDE w:val="0"/>
              <w:autoSpaceDN w:val="0"/>
              <w:adjustRightInd w:val="0"/>
              <w:spacing w:after="60" w:line="300" w:lineRule="exact"/>
              <w:jc w:val="center"/>
              <w:rPr>
                <w:sz w:val="20"/>
                <w:szCs w:val="20"/>
                <w:lang w:val="uk-UA"/>
              </w:rPr>
            </w:pPr>
            <w:r w:rsidRPr="000D475D">
              <w:rPr>
                <w:sz w:val="20"/>
                <w:szCs w:val="20"/>
                <w:lang w:val="uk-UA"/>
              </w:rPr>
              <w:t>+</w:t>
            </w:r>
          </w:p>
        </w:tc>
        <w:tc>
          <w:tcPr>
            <w:tcW w:w="711" w:type="dxa"/>
            <w:shd w:val="clear" w:color="auto" w:fill="auto"/>
          </w:tcPr>
          <w:p w14:paraId="4C2993C9" w14:textId="77777777" w:rsidR="0015582E" w:rsidRPr="000D475D" w:rsidRDefault="0015582E" w:rsidP="00C87439">
            <w:pPr>
              <w:autoSpaceDE w:val="0"/>
              <w:autoSpaceDN w:val="0"/>
              <w:adjustRightInd w:val="0"/>
              <w:spacing w:after="60" w:line="300" w:lineRule="exact"/>
              <w:jc w:val="center"/>
              <w:rPr>
                <w:sz w:val="20"/>
                <w:szCs w:val="20"/>
                <w:lang w:val="uk-UA"/>
              </w:rPr>
            </w:pPr>
            <w:r w:rsidRPr="000D475D">
              <w:rPr>
                <w:sz w:val="20"/>
                <w:szCs w:val="20"/>
                <w:lang w:val="uk-UA"/>
              </w:rPr>
              <w:t>-</w:t>
            </w:r>
          </w:p>
        </w:tc>
        <w:tc>
          <w:tcPr>
            <w:tcW w:w="2268" w:type="dxa"/>
            <w:shd w:val="clear" w:color="auto" w:fill="auto"/>
          </w:tcPr>
          <w:p w14:paraId="721759C9" w14:textId="77777777"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Сприятливі зміни</w:t>
            </w:r>
          </w:p>
          <w:p w14:paraId="04DC7713" w14:textId="77777777"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(зростання вартості)</w:t>
            </w:r>
          </w:p>
        </w:tc>
        <w:tc>
          <w:tcPr>
            <w:tcW w:w="2091" w:type="dxa"/>
            <w:shd w:val="clear" w:color="auto" w:fill="auto"/>
          </w:tcPr>
          <w:p w14:paraId="18D0BB8B" w14:textId="77777777" w:rsidR="0015582E" w:rsidRPr="000D475D" w:rsidRDefault="0015582E" w:rsidP="00C87439">
            <w:pPr>
              <w:autoSpaceDE w:val="0"/>
              <w:autoSpaceDN w:val="0"/>
              <w:adjustRightInd w:val="0"/>
              <w:spacing w:after="60" w:line="300" w:lineRule="exact"/>
              <w:jc w:val="center"/>
              <w:rPr>
                <w:rFonts w:eastAsia="Calibri"/>
                <w:bCs/>
                <w:sz w:val="20"/>
                <w:szCs w:val="20"/>
                <w:lang w:val="uk-UA" w:eastAsia="uk-UA"/>
              </w:rPr>
            </w:pPr>
            <w:r w:rsidRPr="000D475D">
              <w:rPr>
                <w:rFonts w:eastAsia="Calibri"/>
                <w:bCs/>
                <w:sz w:val="20"/>
                <w:szCs w:val="20"/>
                <w:lang w:val="uk-UA" w:eastAsia="uk-UA"/>
              </w:rPr>
              <w:t>Несприятливі зміни</w:t>
            </w:r>
          </w:p>
        </w:tc>
      </w:tr>
      <w:tr w:rsidR="0015582E" w:rsidRPr="000D475D" w14:paraId="45DE6875" w14:textId="77777777" w:rsidTr="005E7575">
        <w:tc>
          <w:tcPr>
            <w:tcW w:w="9786" w:type="dxa"/>
            <w:gridSpan w:val="6"/>
            <w:shd w:val="clear" w:color="auto" w:fill="auto"/>
          </w:tcPr>
          <w:p w14:paraId="0BDD5A50" w14:textId="298589EF" w:rsidR="0015582E" w:rsidRPr="000D475D" w:rsidRDefault="0015582E" w:rsidP="00C87439">
            <w:pPr>
              <w:autoSpaceDE w:val="0"/>
              <w:autoSpaceDN w:val="0"/>
              <w:adjustRightInd w:val="0"/>
              <w:spacing w:after="60" w:line="300" w:lineRule="exact"/>
              <w:jc w:val="center"/>
              <w:rPr>
                <w:sz w:val="20"/>
                <w:szCs w:val="20"/>
                <w:lang w:val="uk-UA"/>
              </w:rPr>
            </w:pPr>
            <w:r w:rsidRPr="000D475D">
              <w:rPr>
                <w:sz w:val="20"/>
                <w:szCs w:val="20"/>
                <w:lang w:val="uk-UA"/>
              </w:rPr>
              <w:t xml:space="preserve">На </w:t>
            </w:r>
            <w:r w:rsidR="00980979" w:rsidRPr="000D475D">
              <w:rPr>
                <w:sz w:val="20"/>
                <w:szCs w:val="20"/>
                <w:lang w:val="uk-UA"/>
              </w:rPr>
              <w:t>31.03.2021</w:t>
            </w:r>
            <w:r w:rsidRPr="000D475D">
              <w:rPr>
                <w:sz w:val="20"/>
                <w:szCs w:val="20"/>
                <w:lang w:val="uk-UA"/>
              </w:rPr>
              <w:t xml:space="preserve"> р.</w:t>
            </w:r>
          </w:p>
        </w:tc>
      </w:tr>
      <w:tr w:rsidR="0015582E" w:rsidRPr="000D475D" w14:paraId="37A95C95" w14:textId="77777777" w:rsidTr="005E7575">
        <w:tc>
          <w:tcPr>
            <w:tcW w:w="2093" w:type="dxa"/>
            <w:shd w:val="clear" w:color="auto" w:fill="auto"/>
          </w:tcPr>
          <w:p w14:paraId="005A2F98" w14:textId="77777777" w:rsidR="0015582E" w:rsidRPr="000D475D" w:rsidRDefault="0015582E" w:rsidP="00C87439">
            <w:pPr>
              <w:autoSpaceDE w:val="0"/>
              <w:autoSpaceDN w:val="0"/>
              <w:adjustRightInd w:val="0"/>
              <w:spacing w:after="60" w:line="300" w:lineRule="exact"/>
              <w:jc w:val="both"/>
              <w:rPr>
                <w:sz w:val="20"/>
                <w:szCs w:val="20"/>
                <w:lang w:val="uk-UA"/>
              </w:rPr>
            </w:pPr>
            <w:r w:rsidRPr="000D475D">
              <w:rPr>
                <w:sz w:val="20"/>
                <w:szCs w:val="20"/>
                <w:lang w:val="uk-UA"/>
              </w:rPr>
              <w:t>Долар США</w:t>
            </w:r>
          </w:p>
        </w:tc>
        <w:tc>
          <w:tcPr>
            <w:tcW w:w="1843" w:type="dxa"/>
            <w:shd w:val="clear" w:color="auto" w:fill="auto"/>
          </w:tcPr>
          <w:p w14:paraId="1EE07A97" w14:textId="3EED9D61" w:rsidR="0015582E" w:rsidRPr="000D475D" w:rsidRDefault="006831B3" w:rsidP="00C87439">
            <w:pPr>
              <w:autoSpaceDE w:val="0"/>
              <w:autoSpaceDN w:val="0"/>
              <w:adjustRightInd w:val="0"/>
              <w:spacing w:after="60" w:line="300" w:lineRule="exact"/>
              <w:jc w:val="center"/>
              <w:rPr>
                <w:sz w:val="20"/>
                <w:szCs w:val="20"/>
                <w:lang w:val="uk-UA"/>
              </w:rPr>
            </w:pPr>
            <w:r w:rsidRPr="000D475D">
              <w:rPr>
                <w:sz w:val="20"/>
                <w:szCs w:val="20"/>
                <w:lang w:val="uk-UA"/>
              </w:rPr>
              <w:t>251 368,57</w:t>
            </w:r>
          </w:p>
        </w:tc>
        <w:tc>
          <w:tcPr>
            <w:tcW w:w="780" w:type="dxa"/>
            <w:shd w:val="clear" w:color="auto" w:fill="auto"/>
          </w:tcPr>
          <w:p w14:paraId="24CBB851" w14:textId="34DC98A0" w:rsidR="0015582E" w:rsidRPr="000D475D" w:rsidRDefault="00552674" w:rsidP="00C87439">
            <w:pPr>
              <w:autoSpaceDE w:val="0"/>
              <w:autoSpaceDN w:val="0"/>
              <w:adjustRightInd w:val="0"/>
              <w:spacing w:after="60" w:line="300" w:lineRule="exact"/>
              <w:jc w:val="center"/>
              <w:rPr>
                <w:sz w:val="20"/>
                <w:szCs w:val="20"/>
                <w:lang w:val="uk-UA"/>
              </w:rPr>
            </w:pPr>
            <w:r w:rsidRPr="000D475D">
              <w:rPr>
                <w:sz w:val="20"/>
                <w:szCs w:val="20"/>
                <w:lang w:val="uk-UA"/>
              </w:rPr>
              <w:t>2,24</w:t>
            </w:r>
          </w:p>
        </w:tc>
        <w:tc>
          <w:tcPr>
            <w:tcW w:w="711" w:type="dxa"/>
            <w:shd w:val="clear" w:color="auto" w:fill="auto"/>
          </w:tcPr>
          <w:p w14:paraId="366ACBE6" w14:textId="7D4EFA2B" w:rsidR="0015582E" w:rsidRPr="000D475D" w:rsidRDefault="00322065" w:rsidP="00C87439">
            <w:pPr>
              <w:autoSpaceDE w:val="0"/>
              <w:autoSpaceDN w:val="0"/>
              <w:adjustRightInd w:val="0"/>
              <w:spacing w:after="60" w:line="300" w:lineRule="exact"/>
              <w:jc w:val="center"/>
              <w:rPr>
                <w:sz w:val="20"/>
                <w:szCs w:val="20"/>
                <w:lang w:val="uk-UA"/>
              </w:rPr>
            </w:pPr>
            <w:r w:rsidRPr="000D475D">
              <w:rPr>
                <w:sz w:val="20"/>
                <w:szCs w:val="20"/>
                <w:lang w:val="uk-UA"/>
              </w:rPr>
              <w:t>2</w:t>
            </w:r>
            <w:r w:rsidR="007B4043" w:rsidRPr="000D475D">
              <w:rPr>
                <w:sz w:val="20"/>
                <w:szCs w:val="20"/>
                <w:lang w:val="uk-UA"/>
              </w:rPr>
              <w:t>,</w:t>
            </w:r>
            <w:r w:rsidR="00552674" w:rsidRPr="000D475D">
              <w:rPr>
                <w:sz w:val="20"/>
                <w:szCs w:val="20"/>
                <w:lang w:val="uk-UA"/>
              </w:rPr>
              <w:t>24</w:t>
            </w:r>
          </w:p>
        </w:tc>
        <w:tc>
          <w:tcPr>
            <w:tcW w:w="2268" w:type="dxa"/>
            <w:shd w:val="clear" w:color="auto" w:fill="auto"/>
          </w:tcPr>
          <w:p w14:paraId="3A1D138B" w14:textId="4A3C40A5" w:rsidR="0015582E" w:rsidRPr="000D475D" w:rsidRDefault="0015582E" w:rsidP="00C87439">
            <w:pPr>
              <w:autoSpaceDE w:val="0"/>
              <w:autoSpaceDN w:val="0"/>
              <w:adjustRightInd w:val="0"/>
              <w:spacing w:after="60" w:line="300" w:lineRule="exact"/>
              <w:jc w:val="center"/>
              <w:rPr>
                <w:sz w:val="20"/>
                <w:szCs w:val="20"/>
                <w:lang w:val="uk-UA"/>
              </w:rPr>
            </w:pPr>
            <w:r w:rsidRPr="000D475D">
              <w:rPr>
                <w:sz w:val="20"/>
                <w:szCs w:val="20"/>
                <w:lang w:val="uk-UA"/>
              </w:rPr>
              <w:t>+</w:t>
            </w:r>
            <w:r w:rsidR="00A16DDA" w:rsidRPr="000D475D">
              <w:rPr>
                <w:sz w:val="20"/>
                <w:szCs w:val="20"/>
                <w:lang w:val="uk-UA"/>
              </w:rPr>
              <w:t>5</w:t>
            </w:r>
            <w:r w:rsidR="00C90F58" w:rsidRPr="000D475D">
              <w:rPr>
                <w:sz w:val="20"/>
                <w:szCs w:val="20"/>
                <w:lang w:val="uk-UA"/>
              </w:rPr>
              <w:t xml:space="preserve"> </w:t>
            </w:r>
            <w:r w:rsidR="00A16DDA" w:rsidRPr="000D475D">
              <w:rPr>
                <w:sz w:val="20"/>
                <w:szCs w:val="20"/>
                <w:lang w:val="uk-UA"/>
              </w:rPr>
              <w:t>63</w:t>
            </w:r>
            <w:r w:rsidR="00C90F58" w:rsidRPr="000D475D">
              <w:rPr>
                <w:sz w:val="20"/>
                <w:szCs w:val="20"/>
                <w:lang w:val="uk-UA"/>
              </w:rPr>
              <w:t>1</w:t>
            </w:r>
          </w:p>
        </w:tc>
        <w:tc>
          <w:tcPr>
            <w:tcW w:w="2091" w:type="dxa"/>
            <w:shd w:val="clear" w:color="auto" w:fill="auto"/>
          </w:tcPr>
          <w:p w14:paraId="08837EEF" w14:textId="450DA4C5" w:rsidR="0015582E" w:rsidRPr="000D475D" w:rsidRDefault="0015582E" w:rsidP="00C87439">
            <w:pPr>
              <w:autoSpaceDE w:val="0"/>
              <w:autoSpaceDN w:val="0"/>
              <w:adjustRightInd w:val="0"/>
              <w:spacing w:after="60" w:line="300" w:lineRule="exact"/>
              <w:jc w:val="center"/>
              <w:rPr>
                <w:sz w:val="20"/>
                <w:szCs w:val="20"/>
                <w:lang w:val="uk-UA"/>
              </w:rPr>
            </w:pPr>
            <w:r w:rsidRPr="000D475D">
              <w:rPr>
                <w:sz w:val="20"/>
                <w:szCs w:val="20"/>
                <w:lang w:val="uk-UA"/>
              </w:rPr>
              <w:t>-</w:t>
            </w:r>
            <w:r w:rsidR="00C90F58" w:rsidRPr="000D475D">
              <w:rPr>
                <w:sz w:val="20"/>
                <w:szCs w:val="20"/>
                <w:lang w:val="uk-UA"/>
              </w:rPr>
              <w:t>5 631</w:t>
            </w:r>
          </w:p>
        </w:tc>
      </w:tr>
    </w:tbl>
    <w:p w14:paraId="108A5AC1" w14:textId="77777777" w:rsidR="007E1725" w:rsidRPr="000E05A8" w:rsidRDefault="007E1725" w:rsidP="00794809">
      <w:pPr>
        <w:ind w:firstLine="709"/>
        <w:jc w:val="both"/>
        <w:rPr>
          <w:sz w:val="22"/>
          <w:szCs w:val="22"/>
          <w:lang w:val="uk-UA"/>
        </w:rPr>
      </w:pPr>
    </w:p>
    <w:p w14:paraId="381F1A3A" w14:textId="77777777" w:rsidR="002F7025" w:rsidRPr="000E05A8" w:rsidRDefault="002F7025" w:rsidP="002F7025">
      <w:pPr>
        <w:shd w:val="clear" w:color="auto" w:fill="FFFFFF"/>
        <w:autoSpaceDE w:val="0"/>
        <w:autoSpaceDN w:val="0"/>
        <w:adjustRightInd w:val="0"/>
        <w:ind w:firstLine="709"/>
        <w:contextualSpacing/>
        <w:jc w:val="both"/>
        <w:rPr>
          <w:b/>
          <w:sz w:val="22"/>
          <w:szCs w:val="22"/>
          <w:lang w:val="uk-UA"/>
        </w:rPr>
      </w:pPr>
      <w:r w:rsidRPr="000E05A8">
        <w:rPr>
          <w:b/>
          <w:sz w:val="22"/>
          <w:szCs w:val="22"/>
          <w:lang w:val="uk-UA"/>
        </w:rPr>
        <w:t>Ризик ліквідності</w:t>
      </w:r>
    </w:p>
    <w:p w14:paraId="1C3DE3D0" w14:textId="5F7A0851" w:rsidR="002F7025" w:rsidRPr="000E05A8" w:rsidRDefault="002F7025" w:rsidP="002F7025">
      <w:pPr>
        <w:shd w:val="clear" w:color="auto" w:fill="FFFFFF"/>
        <w:autoSpaceDE w:val="0"/>
        <w:autoSpaceDN w:val="0"/>
        <w:adjustRightInd w:val="0"/>
        <w:contextualSpacing/>
        <w:jc w:val="both"/>
        <w:rPr>
          <w:sz w:val="22"/>
          <w:szCs w:val="22"/>
          <w:lang w:val="uk-UA"/>
        </w:rPr>
      </w:pPr>
      <w:r w:rsidRPr="000E05A8">
        <w:rPr>
          <w:sz w:val="22"/>
          <w:szCs w:val="22"/>
          <w:lang w:val="uk-UA"/>
        </w:rPr>
        <w:tab/>
        <w:t xml:space="preserve">Ризик ліквідності – ризик того, що </w:t>
      </w:r>
      <w:r w:rsidR="006B2E2E" w:rsidRPr="000E05A8">
        <w:rPr>
          <w:sz w:val="22"/>
          <w:szCs w:val="22"/>
          <w:lang w:val="uk-UA"/>
        </w:rPr>
        <w:t>Товариство</w:t>
      </w:r>
      <w:r w:rsidRPr="000E05A8">
        <w:rPr>
          <w:sz w:val="22"/>
          <w:szCs w:val="22"/>
          <w:lang w:val="uk-UA"/>
        </w:rPr>
        <w:t xml:space="preserve">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w:t>
      </w:r>
    </w:p>
    <w:p w14:paraId="0D5953A5" w14:textId="303DA62B" w:rsidR="002F7025" w:rsidRPr="000E05A8" w:rsidRDefault="002F7025" w:rsidP="002F7025">
      <w:pPr>
        <w:shd w:val="clear" w:color="auto" w:fill="FFFFFF"/>
        <w:autoSpaceDE w:val="0"/>
        <w:autoSpaceDN w:val="0"/>
        <w:adjustRightInd w:val="0"/>
        <w:spacing w:before="60" w:after="60"/>
        <w:contextualSpacing/>
        <w:jc w:val="both"/>
        <w:rPr>
          <w:sz w:val="22"/>
          <w:szCs w:val="22"/>
          <w:lang w:val="uk-UA"/>
        </w:rPr>
      </w:pPr>
      <w:r w:rsidRPr="000E05A8">
        <w:rPr>
          <w:sz w:val="22"/>
          <w:szCs w:val="22"/>
          <w:lang w:val="uk-UA"/>
        </w:rPr>
        <w:tab/>
      </w:r>
      <w:r w:rsidR="009251A8" w:rsidRPr="000E05A8">
        <w:rPr>
          <w:sz w:val="22"/>
          <w:szCs w:val="22"/>
          <w:lang w:val="uk-UA"/>
        </w:rPr>
        <w:t>Товариство</w:t>
      </w:r>
      <w:r w:rsidRPr="000E05A8">
        <w:rPr>
          <w:sz w:val="22"/>
          <w:szCs w:val="22"/>
          <w:lang w:val="uk-UA"/>
        </w:rPr>
        <w:t xml:space="preserve"> здійснює контроль ліквідності шляхом планування поточної ліквідності. </w:t>
      </w:r>
      <w:r w:rsidR="009251A8" w:rsidRPr="000E05A8">
        <w:rPr>
          <w:sz w:val="22"/>
          <w:szCs w:val="22"/>
          <w:lang w:val="uk-UA"/>
        </w:rPr>
        <w:t>Товариство</w:t>
      </w:r>
      <w:r w:rsidRPr="000E05A8">
        <w:rPr>
          <w:sz w:val="22"/>
          <w:szCs w:val="22"/>
          <w:lang w:val="uk-UA"/>
        </w:rPr>
        <w:t xml:space="preserve">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14:paraId="36EA9372" w14:textId="20572B0E" w:rsidR="002F7025" w:rsidRPr="000E05A8" w:rsidRDefault="002F7025" w:rsidP="002F7025">
      <w:pPr>
        <w:shd w:val="clear" w:color="auto" w:fill="FFFFFF"/>
        <w:autoSpaceDE w:val="0"/>
        <w:autoSpaceDN w:val="0"/>
        <w:adjustRightInd w:val="0"/>
        <w:spacing w:before="60" w:after="60"/>
        <w:contextualSpacing/>
        <w:jc w:val="both"/>
        <w:rPr>
          <w:sz w:val="22"/>
          <w:szCs w:val="22"/>
          <w:lang w:val="uk-UA"/>
        </w:rPr>
      </w:pPr>
      <w:r w:rsidRPr="000E05A8">
        <w:rPr>
          <w:sz w:val="22"/>
          <w:szCs w:val="22"/>
          <w:lang w:val="uk-UA"/>
        </w:rPr>
        <w:tab/>
        <w:t xml:space="preserve">Інформація щодо недисконтованих платежів за фінансовими зобов’язаннями </w:t>
      </w:r>
      <w:r w:rsidR="009251A8" w:rsidRPr="000E05A8">
        <w:rPr>
          <w:sz w:val="22"/>
          <w:szCs w:val="22"/>
          <w:lang w:val="uk-UA"/>
        </w:rPr>
        <w:t>Товариства</w:t>
      </w:r>
      <w:r w:rsidRPr="000E05A8">
        <w:rPr>
          <w:sz w:val="22"/>
          <w:szCs w:val="22"/>
          <w:lang w:val="uk-UA"/>
        </w:rPr>
        <w:t xml:space="preserve"> в розрізі строків погашення представлена наступним чином:</w:t>
      </w:r>
    </w:p>
    <w:p w14:paraId="60274039" w14:textId="3CCD1E75" w:rsidR="002F7025" w:rsidRPr="000E05A8" w:rsidRDefault="00CA05B6" w:rsidP="002F7025">
      <w:pPr>
        <w:shd w:val="clear" w:color="auto" w:fill="FFFFFF"/>
        <w:autoSpaceDE w:val="0"/>
        <w:autoSpaceDN w:val="0"/>
        <w:adjustRightInd w:val="0"/>
        <w:spacing w:before="60" w:after="60"/>
        <w:contextualSpacing/>
        <w:jc w:val="right"/>
        <w:rPr>
          <w:rFonts w:eastAsia="Times-Roman"/>
          <w:sz w:val="22"/>
          <w:szCs w:val="22"/>
          <w:lang w:val="uk-UA" w:eastAsia="en-US"/>
        </w:rPr>
      </w:pPr>
      <w:r w:rsidRPr="000E05A8">
        <w:rPr>
          <w:spacing w:val="-1"/>
          <w:sz w:val="22"/>
          <w:szCs w:val="22"/>
          <w:lang w:val="uk-UA"/>
        </w:rPr>
        <w:t>(тис.грн.)</w:t>
      </w:r>
      <w:r w:rsidR="002F7025" w:rsidRPr="000E05A8">
        <w:rPr>
          <w:rFonts w:eastAsia="Times-Roman"/>
          <w:sz w:val="22"/>
          <w:szCs w:val="22"/>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90"/>
        <w:gridCol w:w="1131"/>
        <w:gridCol w:w="1131"/>
        <w:gridCol w:w="1127"/>
        <w:gridCol w:w="1130"/>
        <w:gridCol w:w="1150"/>
      </w:tblGrid>
      <w:tr w:rsidR="002F7025" w:rsidRPr="000D475D" w14:paraId="7877F2BD" w14:textId="77777777" w:rsidTr="009257DD">
        <w:tc>
          <w:tcPr>
            <w:tcW w:w="3196" w:type="dxa"/>
            <w:shd w:val="clear" w:color="auto" w:fill="auto"/>
            <w:vAlign w:val="center"/>
          </w:tcPr>
          <w:p w14:paraId="5CD7B34E" w14:textId="70F0D2E3"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З</w:t>
            </w:r>
            <w:r w:rsidR="007355FF" w:rsidRPr="000D475D">
              <w:rPr>
                <w:bCs/>
                <w:sz w:val="20"/>
                <w:szCs w:val="20"/>
                <w:lang w:val="uk-UA"/>
              </w:rPr>
              <w:t xml:space="preserve">а період з </w:t>
            </w:r>
            <w:r w:rsidR="002628FB" w:rsidRPr="000D475D">
              <w:rPr>
                <w:bCs/>
                <w:sz w:val="20"/>
                <w:szCs w:val="20"/>
                <w:lang w:val="uk-UA"/>
              </w:rPr>
              <w:t>01 січня 2021 року</w:t>
            </w:r>
            <w:r w:rsidR="00ED3F30" w:rsidRPr="000D475D">
              <w:rPr>
                <w:bCs/>
                <w:sz w:val="20"/>
                <w:szCs w:val="20"/>
                <w:lang w:val="uk-UA"/>
              </w:rPr>
              <w:t xml:space="preserve"> </w:t>
            </w:r>
            <w:r w:rsidRPr="000D475D">
              <w:rPr>
                <w:bCs/>
                <w:sz w:val="20"/>
                <w:szCs w:val="20"/>
                <w:lang w:val="uk-UA"/>
              </w:rPr>
              <w:t xml:space="preserve">по </w:t>
            </w:r>
            <w:r w:rsidR="00980979" w:rsidRPr="000D475D">
              <w:rPr>
                <w:bCs/>
                <w:sz w:val="20"/>
                <w:szCs w:val="20"/>
                <w:lang w:val="uk-UA"/>
              </w:rPr>
              <w:t>31 березня 2021</w:t>
            </w:r>
            <w:r w:rsidR="00FA7519" w:rsidRPr="000D475D">
              <w:rPr>
                <w:bCs/>
                <w:sz w:val="20"/>
                <w:szCs w:val="20"/>
                <w:lang w:val="uk-UA"/>
              </w:rPr>
              <w:t xml:space="preserve"> року</w:t>
            </w:r>
          </w:p>
        </w:tc>
        <w:tc>
          <w:tcPr>
            <w:tcW w:w="990" w:type="dxa"/>
            <w:shd w:val="clear" w:color="auto" w:fill="auto"/>
            <w:vAlign w:val="center"/>
          </w:tcPr>
          <w:p w14:paraId="5A06A70E" w14:textId="77777777"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До 1 місяца</w:t>
            </w:r>
          </w:p>
        </w:tc>
        <w:tc>
          <w:tcPr>
            <w:tcW w:w="1131" w:type="dxa"/>
            <w:shd w:val="clear" w:color="auto" w:fill="auto"/>
            <w:vAlign w:val="center"/>
          </w:tcPr>
          <w:p w14:paraId="4C439742" w14:textId="77777777"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Від 1 місяца до 3 місяців</w:t>
            </w:r>
          </w:p>
        </w:tc>
        <w:tc>
          <w:tcPr>
            <w:tcW w:w="1131" w:type="dxa"/>
            <w:shd w:val="clear" w:color="auto" w:fill="auto"/>
            <w:vAlign w:val="center"/>
          </w:tcPr>
          <w:p w14:paraId="580E8A47" w14:textId="77777777"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Від 3 місяців до 1 року</w:t>
            </w:r>
          </w:p>
        </w:tc>
        <w:tc>
          <w:tcPr>
            <w:tcW w:w="1127" w:type="dxa"/>
            <w:shd w:val="clear" w:color="auto" w:fill="auto"/>
            <w:vAlign w:val="center"/>
          </w:tcPr>
          <w:p w14:paraId="40DBB4B0" w14:textId="77777777"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Від 1 року до 5 років</w:t>
            </w:r>
          </w:p>
        </w:tc>
        <w:tc>
          <w:tcPr>
            <w:tcW w:w="1130" w:type="dxa"/>
            <w:shd w:val="clear" w:color="auto" w:fill="auto"/>
            <w:vAlign w:val="center"/>
          </w:tcPr>
          <w:p w14:paraId="47AF972F" w14:textId="77777777" w:rsidR="002F7025" w:rsidRPr="000D475D" w:rsidRDefault="002F7025" w:rsidP="00C87439">
            <w:pPr>
              <w:autoSpaceDE w:val="0"/>
              <w:autoSpaceDN w:val="0"/>
              <w:adjustRightInd w:val="0"/>
              <w:spacing w:before="60" w:after="60"/>
              <w:contextualSpacing/>
              <w:jc w:val="center"/>
              <w:rPr>
                <w:bCs/>
                <w:sz w:val="20"/>
                <w:szCs w:val="20"/>
                <w:lang w:val="uk-UA"/>
              </w:rPr>
            </w:pPr>
            <w:r w:rsidRPr="000D475D">
              <w:rPr>
                <w:bCs/>
                <w:sz w:val="20"/>
                <w:szCs w:val="20"/>
                <w:lang w:val="uk-UA"/>
              </w:rPr>
              <w:t>Більше 5 років</w:t>
            </w:r>
          </w:p>
        </w:tc>
        <w:tc>
          <w:tcPr>
            <w:tcW w:w="1150" w:type="dxa"/>
            <w:shd w:val="clear" w:color="auto" w:fill="auto"/>
            <w:vAlign w:val="center"/>
          </w:tcPr>
          <w:p w14:paraId="3647B859" w14:textId="1F0B6FCC" w:rsidR="002F7025" w:rsidRPr="000D475D" w:rsidRDefault="002F7025" w:rsidP="00C87439">
            <w:pPr>
              <w:autoSpaceDE w:val="0"/>
              <w:autoSpaceDN w:val="0"/>
              <w:adjustRightInd w:val="0"/>
              <w:spacing w:before="60" w:after="60"/>
              <w:contextualSpacing/>
              <w:jc w:val="center"/>
              <w:rPr>
                <w:b/>
                <w:i/>
                <w:iCs/>
                <w:sz w:val="20"/>
                <w:szCs w:val="20"/>
                <w:lang w:val="uk-UA"/>
              </w:rPr>
            </w:pPr>
            <w:r w:rsidRPr="000D475D">
              <w:rPr>
                <w:b/>
                <w:i/>
                <w:iCs/>
                <w:sz w:val="20"/>
                <w:szCs w:val="20"/>
                <w:lang w:val="uk-UA"/>
              </w:rPr>
              <w:t>В</w:t>
            </w:r>
            <w:r w:rsidR="000D475D" w:rsidRPr="000D475D">
              <w:rPr>
                <w:b/>
                <w:i/>
                <w:iCs/>
                <w:sz w:val="20"/>
                <w:szCs w:val="20"/>
                <w:lang w:val="uk-UA"/>
              </w:rPr>
              <w:t>сього</w:t>
            </w:r>
          </w:p>
        </w:tc>
      </w:tr>
      <w:tr w:rsidR="00ED3F30" w:rsidRPr="000D475D" w14:paraId="6BF04DEA" w14:textId="77777777" w:rsidTr="009257DD">
        <w:tc>
          <w:tcPr>
            <w:tcW w:w="3196" w:type="dxa"/>
            <w:shd w:val="clear" w:color="auto" w:fill="FFFFFF"/>
          </w:tcPr>
          <w:p w14:paraId="2CA836A5" w14:textId="42F4EBE9" w:rsidR="00ED3F30" w:rsidRPr="000D475D" w:rsidRDefault="00ED3F30" w:rsidP="00ED3F30">
            <w:pPr>
              <w:autoSpaceDE w:val="0"/>
              <w:autoSpaceDN w:val="0"/>
              <w:adjustRightInd w:val="0"/>
              <w:spacing w:before="60" w:after="60"/>
              <w:contextualSpacing/>
              <w:rPr>
                <w:bCs/>
                <w:sz w:val="20"/>
                <w:szCs w:val="20"/>
                <w:lang w:val="uk-UA"/>
              </w:rPr>
            </w:pPr>
            <w:r w:rsidRPr="000D475D">
              <w:rPr>
                <w:bCs/>
                <w:spacing w:val="-2"/>
                <w:sz w:val="20"/>
                <w:szCs w:val="20"/>
                <w:lang w:val="uk-UA"/>
              </w:rPr>
              <w:t>Торговельна кредиторська заборгованість (за оренду офісного приміщення)</w:t>
            </w:r>
          </w:p>
        </w:tc>
        <w:tc>
          <w:tcPr>
            <w:tcW w:w="990" w:type="dxa"/>
            <w:shd w:val="clear" w:color="auto" w:fill="FFFFFF"/>
          </w:tcPr>
          <w:p w14:paraId="4C4526B1" w14:textId="4DF7FFB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132</w:t>
            </w:r>
          </w:p>
        </w:tc>
        <w:tc>
          <w:tcPr>
            <w:tcW w:w="1131" w:type="dxa"/>
            <w:shd w:val="clear" w:color="auto" w:fill="auto"/>
          </w:tcPr>
          <w:p w14:paraId="13EA2A79" w14:textId="1D09A0C9" w:rsidR="00ED3F30" w:rsidRPr="000D475D" w:rsidRDefault="00ED3F30" w:rsidP="00ED3F30">
            <w:pPr>
              <w:autoSpaceDE w:val="0"/>
              <w:autoSpaceDN w:val="0"/>
              <w:adjustRightInd w:val="0"/>
              <w:spacing w:before="60" w:after="60"/>
              <w:contextualSpacing/>
              <w:jc w:val="center"/>
              <w:rPr>
                <w:bCs/>
                <w:sz w:val="20"/>
                <w:szCs w:val="20"/>
                <w:lang w:val="en-US"/>
              </w:rPr>
            </w:pPr>
            <w:r w:rsidRPr="000D475D">
              <w:rPr>
                <w:bCs/>
                <w:sz w:val="20"/>
                <w:szCs w:val="20"/>
                <w:lang w:val="en-US"/>
              </w:rPr>
              <w:t>-</w:t>
            </w:r>
          </w:p>
        </w:tc>
        <w:tc>
          <w:tcPr>
            <w:tcW w:w="1131" w:type="dxa"/>
            <w:shd w:val="clear" w:color="auto" w:fill="auto"/>
          </w:tcPr>
          <w:p w14:paraId="196C1317"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27" w:type="dxa"/>
            <w:shd w:val="clear" w:color="auto" w:fill="auto"/>
          </w:tcPr>
          <w:p w14:paraId="6225167F"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30" w:type="dxa"/>
            <w:shd w:val="clear" w:color="auto" w:fill="auto"/>
          </w:tcPr>
          <w:p w14:paraId="43DCE85E"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50" w:type="dxa"/>
            <w:shd w:val="clear" w:color="auto" w:fill="FFFFFF"/>
          </w:tcPr>
          <w:p w14:paraId="0CCB3D03" w14:textId="59DBB83D" w:rsidR="00ED3F30" w:rsidRPr="000D475D" w:rsidRDefault="00ED3F30" w:rsidP="00ED3F30">
            <w:pPr>
              <w:autoSpaceDE w:val="0"/>
              <w:autoSpaceDN w:val="0"/>
              <w:adjustRightInd w:val="0"/>
              <w:spacing w:before="60" w:after="60"/>
              <w:contextualSpacing/>
              <w:jc w:val="center"/>
              <w:rPr>
                <w:b/>
                <w:i/>
                <w:iCs/>
                <w:sz w:val="20"/>
                <w:szCs w:val="20"/>
                <w:lang w:val="en-US"/>
              </w:rPr>
            </w:pPr>
            <w:r w:rsidRPr="000D475D">
              <w:rPr>
                <w:b/>
                <w:i/>
                <w:iCs/>
                <w:sz w:val="20"/>
                <w:szCs w:val="20"/>
                <w:lang w:val="uk-UA"/>
              </w:rPr>
              <w:t>132</w:t>
            </w:r>
          </w:p>
        </w:tc>
      </w:tr>
      <w:tr w:rsidR="00ED3F30" w:rsidRPr="000D475D" w14:paraId="7C22A9F7" w14:textId="77777777" w:rsidTr="009257DD">
        <w:tc>
          <w:tcPr>
            <w:tcW w:w="3196" w:type="dxa"/>
            <w:shd w:val="clear" w:color="auto" w:fill="FFFFFF"/>
          </w:tcPr>
          <w:p w14:paraId="7CEA0230" w14:textId="037A7C11" w:rsidR="00ED3F30" w:rsidRPr="000D475D" w:rsidRDefault="00ED3F30" w:rsidP="00ED3F30">
            <w:pPr>
              <w:autoSpaceDE w:val="0"/>
              <w:autoSpaceDN w:val="0"/>
              <w:adjustRightInd w:val="0"/>
              <w:spacing w:before="60" w:after="60"/>
              <w:contextualSpacing/>
              <w:rPr>
                <w:bCs/>
                <w:sz w:val="20"/>
                <w:szCs w:val="20"/>
                <w:lang w:val="uk-UA"/>
              </w:rPr>
            </w:pPr>
            <w:r w:rsidRPr="000D475D">
              <w:rPr>
                <w:bCs/>
                <w:sz w:val="20"/>
                <w:szCs w:val="20"/>
                <w:lang w:val="uk-UA"/>
              </w:rPr>
              <w:t>Розрахунки з бюджетом</w:t>
            </w:r>
          </w:p>
        </w:tc>
        <w:tc>
          <w:tcPr>
            <w:tcW w:w="990" w:type="dxa"/>
            <w:shd w:val="clear" w:color="auto" w:fill="FFFFFF"/>
          </w:tcPr>
          <w:p w14:paraId="3862F921" w14:textId="61AF8118"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en-US"/>
              </w:rPr>
              <w:t>2</w:t>
            </w:r>
          </w:p>
        </w:tc>
        <w:tc>
          <w:tcPr>
            <w:tcW w:w="1131" w:type="dxa"/>
            <w:shd w:val="clear" w:color="auto" w:fill="auto"/>
          </w:tcPr>
          <w:p w14:paraId="47FC2D0C" w14:textId="1569F8F1" w:rsidR="00ED3F30" w:rsidRPr="000D475D" w:rsidRDefault="00ED3F30" w:rsidP="00ED3F30">
            <w:pPr>
              <w:autoSpaceDE w:val="0"/>
              <w:autoSpaceDN w:val="0"/>
              <w:adjustRightInd w:val="0"/>
              <w:spacing w:before="60" w:after="60"/>
              <w:contextualSpacing/>
              <w:jc w:val="center"/>
              <w:rPr>
                <w:bCs/>
                <w:sz w:val="20"/>
                <w:szCs w:val="20"/>
                <w:lang w:val="en-US"/>
              </w:rPr>
            </w:pPr>
            <w:r w:rsidRPr="000D475D">
              <w:rPr>
                <w:bCs/>
                <w:sz w:val="20"/>
                <w:szCs w:val="20"/>
                <w:lang w:val="en-US"/>
              </w:rPr>
              <w:t>-</w:t>
            </w:r>
          </w:p>
        </w:tc>
        <w:tc>
          <w:tcPr>
            <w:tcW w:w="1131" w:type="dxa"/>
            <w:shd w:val="clear" w:color="auto" w:fill="auto"/>
          </w:tcPr>
          <w:p w14:paraId="3058F8D5"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27" w:type="dxa"/>
            <w:shd w:val="clear" w:color="auto" w:fill="auto"/>
          </w:tcPr>
          <w:p w14:paraId="604EC431"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30" w:type="dxa"/>
            <w:shd w:val="clear" w:color="auto" w:fill="auto"/>
          </w:tcPr>
          <w:p w14:paraId="48C96A36"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50" w:type="dxa"/>
            <w:shd w:val="clear" w:color="auto" w:fill="FFFFFF"/>
          </w:tcPr>
          <w:p w14:paraId="71FC6E5C" w14:textId="462FE099" w:rsidR="00ED3F30" w:rsidRPr="000D475D" w:rsidRDefault="00ED3F30" w:rsidP="00ED3F30">
            <w:pPr>
              <w:autoSpaceDE w:val="0"/>
              <w:autoSpaceDN w:val="0"/>
              <w:adjustRightInd w:val="0"/>
              <w:spacing w:before="60" w:after="60"/>
              <w:contextualSpacing/>
              <w:jc w:val="center"/>
              <w:rPr>
                <w:b/>
                <w:i/>
                <w:iCs/>
                <w:sz w:val="20"/>
                <w:szCs w:val="20"/>
                <w:lang w:val="en-US"/>
              </w:rPr>
            </w:pPr>
            <w:r w:rsidRPr="000D475D">
              <w:rPr>
                <w:b/>
                <w:i/>
                <w:iCs/>
                <w:sz w:val="20"/>
                <w:szCs w:val="20"/>
                <w:lang w:val="en-US"/>
              </w:rPr>
              <w:t>2</w:t>
            </w:r>
          </w:p>
        </w:tc>
      </w:tr>
      <w:tr w:rsidR="00ED3F30" w:rsidRPr="000D475D" w14:paraId="63D55DAE" w14:textId="77777777" w:rsidTr="009257DD">
        <w:tc>
          <w:tcPr>
            <w:tcW w:w="3196" w:type="dxa"/>
            <w:shd w:val="clear" w:color="auto" w:fill="FFFFFF"/>
          </w:tcPr>
          <w:p w14:paraId="58DF7452" w14:textId="680210BC" w:rsidR="00ED3F30" w:rsidRPr="000D475D" w:rsidRDefault="00ED3F30" w:rsidP="00ED3F30">
            <w:pPr>
              <w:autoSpaceDE w:val="0"/>
              <w:autoSpaceDN w:val="0"/>
              <w:adjustRightInd w:val="0"/>
              <w:spacing w:before="60" w:after="60"/>
              <w:contextualSpacing/>
              <w:rPr>
                <w:bCs/>
                <w:sz w:val="20"/>
                <w:szCs w:val="20"/>
                <w:lang w:val="uk-UA"/>
              </w:rPr>
            </w:pPr>
            <w:r w:rsidRPr="000D475D">
              <w:rPr>
                <w:bCs/>
                <w:spacing w:val="-1"/>
                <w:sz w:val="20"/>
                <w:szCs w:val="20"/>
                <w:lang w:val="uk-UA"/>
              </w:rPr>
              <w:t>Заробітна плата та соціальні внески</w:t>
            </w:r>
          </w:p>
        </w:tc>
        <w:tc>
          <w:tcPr>
            <w:tcW w:w="990" w:type="dxa"/>
            <w:shd w:val="clear" w:color="auto" w:fill="FFFFFF"/>
          </w:tcPr>
          <w:p w14:paraId="0F7E56EB" w14:textId="34259685"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13</w:t>
            </w:r>
          </w:p>
        </w:tc>
        <w:tc>
          <w:tcPr>
            <w:tcW w:w="1131" w:type="dxa"/>
            <w:shd w:val="clear" w:color="auto" w:fill="auto"/>
          </w:tcPr>
          <w:p w14:paraId="7CD922C6" w14:textId="1D7FF8B0" w:rsidR="00ED3F30" w:rsidRPr="000D475D" w:rsidRDefault="00ED3F30" w:rsidP="00ED3F30">
            <w:pPr>
              <w:autoSpaceDE w:val="0"/>
              <w:autoSpaceDN w:val="0"/>
              <w:adjustRightInd w:val="0"/>
              <w:spacing w:before="60" w:after="60"/>
              <w:contextualSpacing/>
              <w:jc w:val="center"/>
              <w:rPr>
                <w:bCs/>
                <w:sz w:val="20"/>
                <w:szCs w:val="20"/>
                <w:lang w:val="en-US"/>
              </w:rPr>
            </w:pPr>
            <w:r w:rsidRPr="000D475D">
              <w:rPr>
                <w:bCs/>
                <w:sz w:val="20"/>
                <w:szCs w:val="20"/>
                <w:lang w:val="en-US"/>
              </w:rPr>
              <w:t>-</w:t>
            </w:r>
          </w:p>
        </w:tc>
        <w:tc>
          <w:tcPr>
            <w:tcW w:w="1131" w:type="dxa"/>
            <w:shd w:val="clear" w:color="auto" w:fill="auto"/>
          </w:tcPr>
          <w:p w14:paraId="311808FB"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27" w:type="dxa"/>
            <w:shd w:val="clear" w:color="auto" w:fill="auto"/>
          </w:tcPr>
          <w:p w14:paraId="021D5330"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30" w:type="dxa"/>
            <w:shd w:val="clear" w:color="auto" w:fill="auto"/>
          </w:tcPr>
          <w:p w14:paraId="3A0D0F49"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50" w:type="dxa"/>
            <w:shd w:val="clear" w:color="auto" w:fill="FFFFFF"/>
          </w:tcPr>
          <w:p w14:paraId="22103BDD" w14:textId="59F67368" w:rsidR="00ED3F30" w:rsidRPr="000D475D" w:rsidRDefault="00ED3F30" w:rsidP="00ED3F30">
            <w:pPr>
              <w:autoSpaceDE w:val="0"/>
              <w:autoSpaceDN w:val="0"/>
              <w:adjustRightInd w:val="0"/>
              <w:spacing w:before="60" w:after="60"/>
              <w:contextualSpacing/>
              <w:jc w:val="center"/>
              <w:rPr>
                <w:b/>
                <w:i/>
                <w:iCs/>
                <w:sz w:val="20"/>
                <w:szCs w:val="20"/>
                <w:lang w:val="en-US"/>
              </w:rPr>
            </w:pPr>
            <w:r w:rsidRPr="000D475D">
              <w:rPr>
                <w:b/>
                <w:i/>
                <w:iCs/>
                <w:sz w:val="20"/>
                <w:szCs w:val="20"/>
                <w:lang w:val="uk-UA"/>
              </w:rPr>
              <w:t>13</w:t>
            </w:r>
          </w:p>
        </w:tc>
      </w:tr>
      <w:tr w:rsidR="00ED3F30" w:rsidRPr="000D475D" w14:paraId="02AA8507" w14:textId="77777777" w:rsidTr="009257DD">
        <w:tc>
          <w:tcPr>
            <w:tcW w:w="3196" w:type="dxa"/>
            <w:shd w:val="clear" w:color="auto" w:fill="FFFFFF"/>
          </w:tcPr>
          <w:p w14:paraId="0B77D898" w14:textId="6C8519E0" w:rsidR="00ED3F30" w:rsidRPr="000D475D" w:rsidRDefault="00ED3F30" w:rsidP="00ED3F30">
            <w:pPr>
              <w:autoSpaceDE w:val="0"/>
              <w:autoSpaceDN w:val="0"/>
              <w:adjustRightInd w:val="0"/>
              <w:spacing w:before="60" w:after="60"/>
              <w:contextualSpacing/>
              <w:rPr>
                <w:bCs/>
                <w:sz w:val="20"/>
                <w:szCs w:val="20"/>
                <w:lang w:val="uk-UA"/>
              </w:rPr>
            </w:pPr>
            <w:r w:rsidRPr="000D475D">
              <w:rPr>
                <w:bCs/>
                <w:spacing w:val="-1"/>
                <w:sz w:val="20"/>
                <w:szCs w:val="20"/>
                <w:lang w:val="uk-UA"/>
              </w:rPr>
              <w:t xml:space="preserve">Інші поточні зобов'язання </w:t>
            </w:r>
          </w:p>
        </w:tc>
        <w:tc>
          <w:tcPr>
            <w:tcW w:w="990" w:type="dxa"/>
            <w:shd w:val="clear" w:color="auto" w:fill="FFFFFF"/>
          </w:tcPr>
          <w:p w14:paraId="0FBD06C7" w14:textId="0366CF11"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50</w:t>
            </w:r>
          </w:p>
        </w:tc>
        <w:tc>
          <w:tcPr>
            <w:tcW w:w="1131" w:type="dxa"/>
            <w:shd w:val="clear" w:color="auto" w:fill="auto"/>
          </w:tcPr>
          <w:p w14:paraId="61B9C5AD" w14:textId="5174482F" w:rsidR="00ED3F30" w:rsidRPr="000D475D" w:rsidRDefault="00ED3F30" w:rsidP="00ED3F30">
            <w:pPr>
              <w:autoSpaceDE w:val="0"/>
              <w:autoSpaceDN w:val="0"/>
              <w:adjustRightInd w:val="0"/>
              <w:spacing w:before="60" w:after="60"/>
              <w:contextualSpacing/>
              <w:jc w:val="center"/>
              <w:rPr>
                <w:bCs/>
                <w:sz w:val="20"/>
                <w:szCs w:val="20"/>
                <w:lang w:val="en-US"/>
              </w:rPr>
            </w:pPr>
            <w:r w:rsidRPr="000D475D">
              <w:rPr>
                <w:bCs/>
                <w:sz w:val="20"/>
                <w:szCs w:val="20"/>
                <w:lang w:val="en-US"/>
              </w:rPr>
              <w:t>-</w:t>
            </w:r>
          </w:p>
        </w:tc>
        <w:tc>
          <w:tcPr>
            <w:tcW w:w="1131" w:type="dxa"/>
            <w:shd w:val="clear" w:color="auto" w:fill="auto"/>
          </w:tcPr>
          <w:p w14:paraId="2EE15F55" w14:textId="53C76FEF" w:rsidR="00ED3F30" w:rsidRPr="000D475D" w:rsidRDefault="0058090C" w:rsidP="00ED3F30">
            <w:pPr>
              <w:autoSpaceDE w:val="0"/>
              <w:autoSpaceDN w:val="0"/>
              <w:adjustRightInd w:val="0"/>
              <w:spacing w:before="60" w:after="60"/>
              <w:contextualSpacing/>
              <w:jc w:val="center"/>
              <w:rPr>
                <w:bCs/>
                <w:sz w:val="20"/>
                <w:szCs w:val="20"/>
                <w:lang w:val="uk-UA"/>
              </w:rPr>
            </w:pPr>
            <w:r w:rsidRPr="000D475D">
              <w:rPr>
                <w:bCs/>
                <w:sz w:val="20"/>
                <w:szCs w:val="20"/>
                <w:lang w:val="uk-UA"/>
              </w:rPr>
              <w:t>50</w:t>
            </w:r>
          </w:p>
        </w:tc>
        <w:tc>
          <w:tcPr>
            <w:tcW w:w="1127" w:type="dxa"/>
            <w:shd w:val="clear" w:color="auto" w:fill="auto"/>
          </w:tcPr>
          <w:p w14:paraId="1712FF6C"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30" w:type="dxa"/>
            <w:shd w:val="clear" w:color="auto" w:fill="auto"/>
          </w:tcPr>
          <w:p w14:paraId="4EDD86E9" w14:textId="77777777" w:rsidR="00ED3F30" w:rsidRPr="000D475D" w:rsidRDefault="00ED3F30" w:rsidP="00ED3F30">
            <w:pPr>
              <w:autoSpaceDE w:val="0"/>
              <w:autoSpaceDN w:val="0"/>
              <w:adjustRightInd w:val="0"/>
              <w:spacing w:before="60" w:after="60"/>
              <w:contextualSpacing/>
              <w:jc w:val="center"/>
              <w:rPr>
                <w:bCs/>
                <w:sz w:val="20"/>
                <w:szCs w:val="20"/>
                <w:lang w:val="uk-UA"/>
              </w:rPr>
            </w:pPr>
            <w:r w:rsidRPr="000D475D">
              <w:rPr>
                <w:bCs/>
                <w:sz w:val="20"/>
                <w:szCs w:val="20"/>
                <w:lang w:val="uk-UA"/>
              </w:rPr>
              <w:t>-</w:t>
            </w:r>
          </w:p>
        </w:tc>
        <w:tc>
          <w:tcPr>
            <w:tcW w:w="1150" w:type="dxa"/>
            <w:shd w:val="clear" w:color="auto" w:fill="FFFFFF"/>
          </w:tcPr>
          <w:p w14:paraId="238D66B9" w14:textId="109C34F4" w:rsidR="00ED3F30" w:rsidRPr="000D475D" w:rsidRDefault="00ED3F30" w:rsidP="00ED3F30">
            <w:pPr>
              <w:autoSpaceDE w:val="0"/>
              <w:autoSpaceDN w:val="0"/>
              <w:adjustRightInd w:val="0"/>
              <w:spacing w:before="60" w:after="60"/>
              <w:contextualSpacing/>
              <w:jc w:val="center"/>
              <w:rPr>
                <w:b/>
                <w:i/>
                <w:iCs/>
                <w:sz w:val="20"/>
                <w:szCs w:val="20"/>
                <w:lang w:val="en-US"/>
              </w:rPr>
            </w:pPr>
            <w:r w:rsidRPr="000D475D">
              <w:rPr>
                <w:b/>
                <w:i/>
                <w:iCs/>
                <w:sz w:val="20"/>
                <w:szCs w:val="20"/>
                <w:lang w:val="uk-UA"/>
              </w:rPr>
              <w:t>50</w:t>
            </w:r>
          </w:p>
        </w:tc>
      </w:tr>
      <w:tr w:rsidR="002F7025" w:rsidRPr="000D475D" w14:paraId="3F52B0F0" w14:textId="77777777" w:rsidTr="009257DD">
        <w:tc>
          <w:tcPr>
            <w:tcW w:w="3196" w:type="dxa"/>
            <w:shd w:val="clear" w:color="auto" w:fill="auto"/>
            <w:vAlign w:val="center"/>
          </w:tcPr>
          <w:p w14:paraId="62BE0B66" w14:textId="7F2C06F3" w:rsidR="002F7025" w:rsidRPr="000D475D" w:rsidRDefault="000D475D" w:rsidP="00C87439">
            <w:pPr>
              <w:autoSpaceDE w:val="0"/>
              <w:autoSpaceDN w:val="0"/>
              <w:adjustRightInd w:val="0"/>
              <w:spacing w:before="60" w:after="60"/>
              <w:contextualSpacing/>
              <w:rPr>
                <w:b/>
                <w:i/>
                <w:iCs/>
                <w:sz w:val="20"/>
                <w:szCs w:val="20"/>
                <w:lang w:val="uk-UA"/>
              </w:rPr>
            </w:pPr>
            <w:r w:rsidRPr="000D475D">
              <w:rPr>
                <w:b/>
                <w:i/>
                <w:iCs/>
                <w:sz w:val="20"/>
                <w:szCs w:val="20"/>
                <w:lang w:val="uk-UA"/>
              </w:rPr>
              <w:t>Всього</w:t>
            </w:r>
          </w:p>
        </w:tc>
        <w:tc>
          <w:tcPr>
            <w:tcW w:w="990" w:type="dxa"/>
            <w:shd w:val="clear" w:color="auto" w:fill="auto"/>
            <w:vAlign w:val="center"/>
          </w:tcPr>
          <w:p w14:paraId="2FC82831" w14:textId="61F37F45" w:rsidR="002F7025" w:rsidRPr="000D475D" w:rsidRDefault="009257DD" w:rsidP="00C87439">
            <w:pPr>
              <w:autoSpaceDE w:val="0"/>
              <w:autoSpaceDN w:val="0"/>
              <w:adjustRightInd w:val="0"/>
              <w:spacing w:before="60" w:after="60"/>
              <w:contextualSpacing/>
              <w:jc w:val="center"/>
              <w:rPr>
                <w:b/>
                <w:i/>
                <w:iCs/>
                <w:sz w:val="20"/>
                <w:szCs w:val="20"/>
                <w:lang w:val="uk-UA"/>
              </w:rPr>
            </w:pPr>
            <w:r w:rsidRPr="000D475D">
              <w:rPr>
                <w:b/>
                <w:i/>
                <w:iCs/>
                <w:sz w:val="20"/>
                <w:szCs w:val="20"/>
                <w:lang w:val="uk-UA"/>
              </w:rPr>
              <w:t>147</w:t>
            </w:r>
          </w:p>
        </w:tc>
        <w:tc>
          <w:tcPr>
            <w:tcW w:w="1131" w:type="dxa"/>
            <w:shd w:val="clear" w:color="auto" w:fill="auto"/>
            <w:vAlign w:val="center"/>
          </w:tcPr>
          <w:p w14:paraId="2CBAAC01" w14:textId="75022184" w:rsidR="002F7025" w:rsidRPr="000D475D" w:rsidRDefault="00B7646B" w:rsidP="00C87439">
            <w:pPr>
              <w:autoSpaceDE w:val="0"/>
              <w:autoSpaceDN w:val="0"/>
              <w:adjustRightInd w:val="0"/>
              <w:spacing w:before="60" w:after="60"/>
              <w:contextualSpacing/>
              <w:jc w:val="center"/>
              <w:rPr>
                <w:b/>
                <w:i/>
                <w:iCs/>
                <w:sz w:val="20"/>
                <w:szCs w:val="20"/>
                <w:lang w:val="en-US"/>
              </w:rPr>
            </w:pPr>
            <w:r w:rsidRPr="000D475D">
              <w:rPr>
                <w:b/>
                <w:i/>
                <w:iCs/>
                <w:sz w:val="20"/>
                <w:szCs w:val="20"/>
                <w:lang w:val="en-US"/>
              </w:rPr>
              <w:t>-</w:t>
            </w:r>
          </w:p>
        </w:tc>
        <w:tc>
          <w:tcPr>
            <w:tcW w:w="1131" w:type="dxa"/>
            <w:shd w:val="clear" w:color="auto" w:fill="auto"/>
            <w:vAlign w:val="center"/>
          </w:tcPr>
          <w:p w14:paraId="106571CA" w14:textId="3C58F820" w:rsidR="002F7025" w:rsidRPr="000D475D" w:rsidRDefault="0058090C" w:rsidP="00C87439">
            <w:pPr>
              <w:autoSpaceDE w:val="0"/>
              <w:autoSpaceDN w:val="0"/>
              <w:adjustRightInd w:val="0"/>
              <w:spacing w:before="60" w:after="60"/>
              <w:contextualSpacing/>
              <w:jc w:val="center"/>
              <w:rPr>
                <w:b/>
                <w:i/>
                <w:iCs/>
                <w:sz w:val="20"/>
                <w:szCs w:val="20"/>
                <w:lang w:val="uk-UA"/>
              </w:rPr>
            </w:pPr>
            <w:r w:rsidRPr="000D475D">
              <w:rPr>
                <w:b/>
                <w:i/>
                <w:iCs/>
                <w:sz w:val="20"/>
                <w:szCs w:val="20"/>
                <w:lang w:val="uk-UA"/>
              </w:rPr>
              <w:t>50</w:t>
            </w:r>
          </w:p>
        </w:tc>
        <w:tc>
          <w:tcPr>
            <w:tcW w:w="1127" w:type="dxa"/>
            <w:shd w:val="clear" w:color="auto" w:fill="auto"/>
            <w:vAlign w:val="center"/>
          </w:tcPr>
          <w:p w14:paraId="1ECB1A8B" w14:textId="77777777" w:rsidR="002F7025" w:rsidRPr="000D475D" w:rsidRDefault="002F7025" w:rsidP="00C87439">
            <w:pPr>
              <w:autoSpaceDE w:val="0"/>
              <w:autoSpaceDN w:val="0"/>
              <w:adjustRightInd w:val="0"/>
              <w:spacing w:before="60" w:after="60"/>
              <w:contextualSpacing/>
              <w:jc w:val="center"/>
              <w:rPr>
                <w:b/>
                <w:i/>
                <w:iCs/>
                <w:sz w:val="20"/>
                <w:szCs w:val="20"/>
                <w:lang w:val="uk-UA"/>
              </w:rPr>
            </w:pPr>
            <w:r w:rsidRPr="000D475D">
              <w:rPr>
                <w:b/>
                <w:i/>
                <w:iCs/>
                <w:sz w:val="20"/>
                <w:szCs w:val="20"/>
                <w:lang w:val="uk-UA"/>
              </w:rPr>
              <w:t>-</w:t>
            </w:r>
          </w:p>
        </w:tc>
        <w:tc>
          <w:tcPr>
            <w:tcW w:w="1130" w:type="dxa"/>
            <w:shd w:val="clear" w:color="auto" w:fill="auto"/>
            <w:vAlign w:val="center"/>
          </w:tcPr>
          <w:p w14:paraId="70C5F6E6" w14:textId="77777777" w:rsidR="002F7025" w:rsidRPr="000D475D" w:rsidRDefault="002F7025" w:rsidP="00C87439">
            <w:pPr>
              <w:autoSpaceDE w:val="0"/>
              <w:autoSpaceDN w:val="0"/>
              <w:adjustRightInd w:val="0"/>
              <w:spacing w:before="60" w:after="60"/>
              <w:contextualSpacing/>
              <w:jc w:val="center"/>
              <w:rPr>
                <w:b/>
                <w:i/>
                <w:iCs/>
                <w:sz w:val="20"/>
                <w:szCs w:val="20"/>
                <w:lang w:val="uk-UA"/>
              </w:rPr>
            </w:pPr>
            <w:r w:rsidRPr="000D475D">
              <w:rPr>
                <w:b/>
                <w:i/>
                <w:iCs/>
                <w:sz w:val="20"/>
                <w:szCs w:val="20"/>
                <w:lang w:val="uk-UA"/>
              </w:rPr>
              <w:t>-</w:t>
            </w:r>
          </w:p>
        </w:tc>
        <w:tc>
          <w:tcPr>
            <w:tcW w:w="1150" w:type="dxa"/>
            <w:shd w:val="clear" w:color="auto" w:fill="auto"/>
            <w:vAlign w:val="center"/>
          </w:tcPr>
          <w:p w14:paraId="759DBC6E" w14:textId="117E6EBA" w:rsidR="002F7025" w:rsidRPr="000D475D" w:rsidRDefault="0058090C" w:rsidP="00DB3950">
            <w:pPr>
              <w:autoSpaceDE w:val="0"/>
              <w:autoSpaceDN w:val="0"/>
              <w:adjustRightInd w:val="0"/>
              <w:spacing w:before="60" w:after="60"/>
              <w:contextualSpacing/>
              <w:jc w:val="center"/>
              <w:rPr>
                <w:b/>
                <w:i/>
                <w:iCs/>
                <w:sz w:val="20"/>
                <w:szCs w:val="20"/>
              </w:rPr>
            </w:pPr>
            <w:r w:rsidRPr="000D475D">
              <w:rPr>
                <w:b/>
                <w:i/>
                <w:iCs/>
                <w:sz w:val="20"/>
                <w:szCs w:val="20"/>
              </w:rPr>
              <w:t>197</w:t>
            </w:r>
          </w:p>
        </w:tc>
      </w:tr>
    </w:tbl>
    <w:p w14:paraId="10ADB75C" w14:textId="77777777" w:rsidR="00752554" w:rsidRPr="000D475D" w:rsidRDefault="00752554" w:rsidP="00794809">
      <w:pPr>
        <w:ind w:firstLine="709"/>
        <w:jc w:val="both"/>
        <w:rPr>
          <w:b/>
          <w:i/>
          <w:iCs/>
          <w:sz w:val="22"/>
          <w:szCs w:val="22"/>
          <w:lang w:val="uk-UA"/>
        </w:rPr>
      </w:pPr>
    </w:p>
    <w:p w14:paraId="735FFCB1"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7.4. Управління капіталом</w:t>
      </w:r>
    </w:p>
    <w:p w14:paraId="446DFBF3" w14:textId="77777777" w:rsidR="00752554" w:rsidRPr="000E05A8" w:rsidRDefault="00752554" w:rsidP="00794809">
      <w:pPr>
        <w:ind w:firstLine="709"/>
        <w:jc w:val="both"/>
        <w:rPr>
          <w:sz w:val="22"/>
          <w:szCs w:val="22"/>
          <w:lang w:val="uk-UA"/>
        </w:rPr>
      </w:pPr>
      <w:r w:rsidRPr="000E05A8">
        <w:rPr>
          <w:sz w:val="22"/>
          <w:szCs w:val="22"/>
          <w:lang w:val="uk-UA"/>
        </w:rPr>
        <w:t>Товариство здійснює управління капіталом з метою досягнення наступних цілей:</w:t>
      </w:r>
    </w:p>
    <w:p w14:paraId="4A67779D" w14:textId="77777777" w:rsidR="00752554" w:rsidRPr="000E05A8" w:rsidRDefault="00752554" w:rsidP="00794809">
      <w:pPr>
        <w:pStyle w:val="a3"/>
        <w:numPr>
          <w:ilvl w:val="1"/>
          <w:numId w:val="16"/>
        </w:numPr>
        <w:shd w:val="clear" w:color="auto" w:fill="FFFFFF"/>
        <w:tabs>
          <w:tab w:val="num" w:pos="993"/>
        </w:tabs>
        <w:autoSpaceDE w:val="0"/>
        <w:autoSpaceDN w:val="0"/>
        <w:adjustRightInd w:val="0"/>
        <w:ind w:left="0" w:firstLine="709"/>
        <w:jc w:val="both"/>
        <w:rPr>
          <w:iCs/>
          <w:sz w:val="22"/>
          <w:szCs w:val="22"/>
          <w:lang w:val="uk-UA"/>
        </w:rPr>
      </w:pPr>
      <w:r w:rsidRPr="000E05A8">
        <w:rPr>
          <w:iCs/>
          <w:sz w:val="22"/>
          <w:szCs w:val="22"/>
          <w:lang w:val="uk-UA"/>
        </w:rPr>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14:paraId="7E648FCF" w14:textId="77777777" w:rsidR="00752554" w:rsidRPr="000E05A8" w:rsidRDefault="00752554" w:rsidP="00794809">
      <w:pPr>
        <w:pStyle w:val="a3"/>
        <w:numPr>
          <w:ilvl w:val="1"/>
          <w:numId w:val="16"/>
        </w:numPr>
        <w:shd w:val="clear" w:color="auto" w:fill="FFFFFF"/>
        <w:tabs>
          <w:tab w:val="num" w:pos="993"/>
        </w:tabs>
        <w:autoSpaceDE w:val="0"/>
        <w:autoSpaceDN w:val="0"/>
        <w:adjustRightInd w:val="0"/>
        <w:ind w:left="0" w:firstLine="709"/>
        <w:jc w:val="both"/>
        <w:rPr>
          <w:iCs/>
          <w:sz w:val="22"/>
          <w:szCs w:val="22"/>
          <w:lang w:val="uk-UA"/>
        </w:rPr>
      </w:pPr>
      <w:r w:rsidRPr="000E05A8">
        <w:rPr>
          <w:iCs/>
          <w:sz w:val="22"/>
          <w:szCs w:val="22"/>
          <w:lang w:val="uk-UA"/>
        </w:rPr>
        <w:t>забезпечити належний прибуток учасникам товариства завдяки встановленню цін на послуги Товариства, що відповідають рівню ризику.</w:t>
      </w:r>
    </w:p>
    <w:p w14:paraId="72EDE6DE" w14:textId="77777777" w:rsidR="00752554" w:rsidRPr="000E05A8" w:rsidRDefault="00752554" w:rsidP="00794809">
      <w:pPr>
        <w:ind w:firstLine="709"/>
        <w:jc w:val="both"/>
        <w:rPr>
          <w:sz w:val="22"/>
          <w:szCs w:val="22"/>
          <w:lang w:val="uk-UA"/>
        </w:rPr>
      </w:pPr>
      <w:r w:rsidRPr="000E05A8">
        <w:rPr>
          <w:sz w:val="22"/>
          <w:szCs w:val="22"/>
          <w:lang w:val="uk-UA"/>
        </w:rPr>
        <w:t xml:space="preserve">Керівництво Товариства планує здійснювати огляд структури капіталу на щорічній основі та аналізувати вартість капіталу та притаманні його складовим ризики. </w:t>
      </w:r>
    </w:p>
    <w:p w14:paraId="2BBEB76E" w14:textId="081873E4" w:rsidR="00752554" w:rsidRPr="000E05A8" w:rsidRDefault="00752554" w:rsidP="00794809">
      <w:pPr>
        <w:ind w:firstLine="709"/>
        <w:jc w:val="both"/>
        <w:rPr>
          <w:sz w:val="22"/>
          <w:szCs w:val="22"/>
          <w:lang w:val="uk-UA"/>
        </w:rPr>
      </w:pPr>
      <w:r w:rsidRPr="000E05A8">
        <w:rPr>
          <w:sz w:val="22"/>
          <w:szCs w:val="22"/>
          <w:lang w:val="uk-UA"/>
        </w:rPr>
        <w:t xml:space="preserve">Розмір власного капіталу станом на </w:t>
      </w:r>
      <w:r w:rsidR="00980979" w:rsidRPr="000E05A8">
        <w:rPr>
          <w:sz w:val="22"/>
          <w:szCs w:val="22"/>
          <w:lang w:val="uk-UA"/>
        </w:rPr>
        <w:t>31.03.2021</w:t>
      </w:r>
      <w:r w:rsidRPr="000E05A8">
        <w:rPr>
          <w:sz w:val="22"/>
          <w:szCs w:val="22"/>
          <w:lang w:val="uk-UA"/>
        </w:rPr>
        <w:t xml:space="preserve">р. і становить </w:t>
      </w:r>
      <w:r w:rsidR="00CA7DE9" w:rsidRPr="000E05A8">
        <w:rPr>
          <w:sz w:val="22"/>
          <w:szCs w:val="22"/>
          <w:lang w:val="uk-UA"/>
        </w:rPr>
        <w:t>6 978</w:t>
      </w:r>
      <w:r w:rsidRPr="000E05A8">
        <w:rPr>
          <w:sz w:val="22"/>
          <w:szCs w:val="22"/>
          <w:lang w:val="uk-UA"/>
        </w:rPr>
        <w:t xml:space="preserve"> тис. грн., який складається з статутного капіталу в сумі </w:t>
      </w:r>
      <w:r w:rsidR="0060515F" w:rsidRPr="000E05A8">
        <w:rPr>
          <w:sz w:val="22"/>
          <w:szCs w:val="22"/>
          <w:lang w:val="uk-UA"/>
        </w:rPr>
        <w:t>7</w:t>
      </w:r>
      <w:r w:rsidRPr="000E05A8">
        <w:rPr>
          <w:sz w:val="22"/>
          <w:szCs w:val="22"/>
          <w:lang w:val="uk-UA"/>
        </w:rPr>
        <w:t xml:space="preserve"> </w:t>
      </w:r>
      <w:r w:rsidR="0060515F" w:rsidRPr="000E05A8">
        <w:rPr>
          <w:sz w:val="22"/>
          <w:szCs w:val="22"/>
          <w:lang w:val="uk-UA"/>
        </w:rPr>
        <w:t>5</w:t>
      </w:r>
      <w:r w:rsidRPr="000E05A8">
        <w:rPr>
          <w:sz w:val="22"/>
          <w:szCs w:val="22"/>
          <w:lang w:val="uk-UA"/>
        </w:rPr>
        <w:t xml:space="preserve">00 тис. грн., що </w:t>
      </w:r>
      <w:r w:rsidR="0060515F" w:rsidRPr="000E05A8">
        <w:rPr>
          <w:sz w:val="22"/>
          <w:szCs w:val="22"/>
          <w:lang w:val="uk-UA"/>
        </w:rPr>
        <w:t>зменшений</w:t>
      </w:r>
      <w:r w:rsidRPr="000E05A8">
        <w:rPr>
          <w:sz w:val="22"/>
          <w:szCs w:val="22"/>
          <w:lang w:val="uk-UA"/>
        </w:rPr>
        <w:t xml:space="preserve"> на розмір </w:t>
      </w:r>
      <w:r w:rsidR="00AD7739" w:rsidRPr="000E05A8">
        <w:rPr>
          <w:sz w:val="22"/>
          <w:szCs w:val="22"/>
          <w:lang w:val="uk-UA"/>
        </w:rPr>
        <w:t>збитків</w:t>
      </w:r>
      <w:r w:rsidRPr="000E05A8">
        <w:rPr>
          <w:sz w:val="22"/>
          <w:szCs w:val="22"/>
          <w:lang w:val="uk-UA"/>
        </w:rPr>
        <w:t xml:space="preserve"> </w:t>
      </w:r>
      <w:r w:rsidR="00AE20C8" w:rsidRPr="000E05A8">
        <w:rPr>
          <w:sz w:val="22"/>
          <w:szCs w:val="22"/>
          <w:lang w:val="uk-UA"/>
        </w:rPr>
        <w:t>в сум</w:t>
      </w:r>
      <w:r w:rsidR="00E84466" w:rsidRPr="000E05A8">
        <w:rPr>
          <w:sz w:val="22"/>
          <w:szCs w:val="22"/>
          <w:lang w:val="uk-UA"/>
        </w:rPr>
        <w:t>і</w:t>
      </w:r>
      <w:r w:rsidRPr="000E05A8">
        <w:rPr>
          <w:sz w:val="22"/>
          <w:szCs w:val="22"/>
          <w:lang w:val="uk-UA"/>
        </w:rPr>
        <w:t xml:space="preserve"> </w:t>
      </w:r>
      <w:r w:rsidR="004C5831" w:rsidRPr="000E05A8">
        <w:rPr>
          <w:sz w:val="22"/>
          <w:szCs w:val="22"/>
          <w:lang w:val="uk-UA"/>
        </w:rPr>
        <w:t>522</w:t>
      </w:r>
      <w:r w:rsidRPr="000E05A8">
        <w:rPr>
          <w:sz w:val="22"/>
          <w:szCs w:val="22"/>
          <w:lang w:val="uk-UA"/>
        </w:rPr>
        <w:t xml:space="preserve"> тис. грн.</w:t>
      </w:r>
    </w:p>
    <w:p w14:paraId="4E8FB646" w14:textId="41A44B41" w:rsidR="00752554" w:rsidRPr="000E05A8" w:rsidRDefault="00752554" w:rsidP="00794809">
      <w:pPr>
        <w:ind w:firstLine="709"/>
        <w:jc w:val="both"/>
        <w:rPr>
          <w:sz w:val="22"/>
          <w:szCs w:val="22"/>
          <w:lang w:val="uk-UA"/>
        </w:rPr>
      </w:pPr>
      <w:r w:rsidRPr="000E05A8">
        <w:rPr>
          <w:sz w:val="22"/>
          <w:szCs w:val="22"/>
          <w:lang w:val="uk-UA"/>
        </w:rPr>
        <w:t xml:space="preserve">Розмір регулятивного капіталу Товариства дорівнює </w:t>
      </w:r>
      <w:r w:rsidR="00AD7739" w:rsidRPr="000E05A8">
        <w:rPr>
          <w:sz w:val="22"/>
          <w:szCs w:val="22"/>
          <w:lang w:val="uk-UA"/>
        </w:rPr>
        <w:t>6 978 тис. грн</w:t>
      </w:r>
      <w:r w:rsidRPr="000E05A8">
        <w:rPr>
          <w:sz w:val="22"/>
          <w:szCs w:val="22"/>
          <w:lang w:val="uk-UA"/>
        </w:rPr>
        <w:t>., який складається з розміру статутного капіт</w:t>
      </w:r>
      <w:r w:rsidR="0039075A" w:rsidRPr="000E05A8">
        <w:rPr>
          <w:sz w:val="22"/>
          <w:szCs w:val="22"/>
          <w:lang w:val="uk-UA"/>
        </w:rPr>
        <w:t xml:space="preserve">алу в сумі </w:t>
      </w:r>
      <w:r w:rsidR="006E51C2" w:rsidRPr="000E05A8">
        <w:rPr>
          <w:sz w:val="22"/>
          <w:szCs w:val="22"/>
          <w:lang w:val="uk-UA"/>
        </w:rPr>
        <w:t>7 5</w:t>
      </w:r>
      <w:r w:rsidR="0039075A" w:rsidRPr="000E05A8">
        <w:rPr>
          <w:sz w:val="22"/>
          <w:szCs w:val="22"/>
          <w:lang w:val="uk-UA"/>
        </w:rPr>
        <w:t xml:space="preserve">00 тис. грн., </w:t>
      </w:r>
      <w:r w:rsidR="006709B4" w:rsidRPr="000E05A8">
        <w:rPr>
          <w:sz w:val="22"/>
          <w:szCs w:val="22"/>
          <w:lang w:val="uk-UA"/>
        </w:rPr>
        <w:t xml:space="preserve">за </w:t>
      </w:r>
      <w:r w:rsidR="00B9511E" w:rsidRPr="000E05A8">
        <w:rPr>
          <w:sz w:val="22"/>
          <w:szCs w:val="22"/>
          <w:lang w:val="uk-UA"/>
        </w:rPr>
        <w:t>вирахуванням збитк</w:t>
      </w:r>
      <w:r w:rsidR="008E5DA4" w:rsidRPr="000E05A8">
        <w:rPr>
          <w:sz w:val="22"/>
          <w:szCs w:val="22"/>
          <w:lang w:val="uk-UA"/>
        </w:rPr>
        <w:t>ів</w:t>
      </w:r>
      <w:r w:rsidR="00B9511E" w:rsidRPr="000E05A8">
        <w:rPr>
          <w:sz w:val="22"/>
          <w:szCs w:val="22"/>
          <w:lang w:val="uk-UA"/>
        </w:rPr>
        <w:t xml:space="preserve"> поточного року</w:t>
      </w:r>
      <w:r w:rsidR="008E5DA4" w:rsidRPr="000E05A8">
        <w:rPr>
          <w:sz w:val="22"/>
          <w:szCs w:val="22"/>
          <w:lang w:val="uk-UA"/>
        </w:rPr>
        <w:t xml:space="preserve">  та </w:t>
      </w:r>
      <w:r w:rsidR="0045043D" w:rsidRPr="000E05A8">
        <w:rPr>
          <w:sz w:val="22"/>
          <w:szCs w:val="22"/>
          <w:lang w:val="uk-UA"/>
        </w:rPr>
        <w:t>минулого</w:t>
      </w:r>
      <w:r w:rsidR="00B9511E" w:rsidRPr="000E05A8">
        <w:rPr>
          <w:sz w:val="22"/>
          <w:szCs w:val="22"/>
          <w:lang w:val="uk-UA"/>
        </w:rPr>
        <w:t xml:space="preserve"> в сумі </w:t>
      </w:r>
      <w:r w:rsidR="0045043D" w:rsidRPr="000E05A8">
        <w:rPr>
          <w:sz w:val="22"/>
          <w:szCs w:val="22"/>
          <w:lang w:val="uk-UA"/>
        </w:rPr>
        <w:t>552</w:t>
      </w:r>
      <w:r w:rsidR="00B9511E" w:rsidRPr="000E05A8">
        <w:rPr>
          <w:sz w:val="22"/>
          <w:szCs w:val="22"/>
          <w:lang w:val="uk-UA"/>
        </w:rPr>
        <w:t xml:space="preserve"> тис. грн. </w:t>
      </w:r>
      <w:r w:rsidRPr="000E05A8">
        <w:rPr>
          <w:sz w:val="22"/>
          <w:szCs w:val="22"/>
          <w:lang w:val="uk-UA"/>
        </w:rPr>
        <w:t>(розрахунок проведено відповідно до «Положення щодо пруденційних нормативів професійної діяльності на фондовому ринку та вимог до системи управління ризиками», затвердженого рішенням НКЦПФР № 1597 від 01.10.2015р.).</w:t>
      </w:r>
    </w:p>
    <w:p w14:paraId="7A5087EC" w14:textId="77777777" w:rsidR="00752554" w:rsidRPr="000E05A8" w:rsidRDefault="00752554" w:rsidP="00794809">
      <w:pPr>
        <w:shd w:val="clear" w:color="auto" w:fill="FFFFFF"/>
        <w:ind w:firstLine="709"/>
        <w:jc w:val="both"/>
        <w:rPr>
          <w:b/>
          <w:bCs/>
          <w:spacing w:val="-2"/>
          <w:sz w:val="22"/>
          <w:szCs w:val="22"/>
          <w:lang w:val="uk-UA"/>
        </w:rPr>
      </w:pPr>
    </w:p>
    <w:p w14:paraId="7E7B6988" w14:textId="77777777" w:rsidR="00752554" w:rsidRPr="000E05A8" w:rsidRDefault="00752554" w:rsidP="00794809">
      <w:pPr>
        <w:shd w:val="clear" w:color="auto" w:fill="FFFFFF"/>
        <w:ind w:firstLine="709"/>
        <w:jc w:val="both"/>
        <w:rPr>
          <w:b/>
          <w:bCs/>
          <w:spacing w:val="-2"/>
          <w:sz w:val="22"/>
          <w:szCs w:val="22"/>
          <w:lang w:val="uk-UA"/>
        </w:rPr>
      </w:pPr>
      <w:r w:rsidRPr="000E05A8">
        <w:rPr>
          <w:b/>
          <w:bCs/>
          <w:spacing w:val="-2"/>
          <w:sz w:val="22"/>
          <w:szCs w:val="22"/>
          <w:lang w:val="uk-UA"/>
        </w:rPr>
        <w:t>8. Події після Балансу</w:t>
      </w:r>
    </w:p>
    <w:p w14:paraId="5F8C8FE6" w14:textId="77777777" w:rsidR="00B7783C" w:rsidRPr="000E05A8" w:rsidRDefault="00B7783C" w:rsidP="00EE0471">
      <w:pPr>
        <w:shd w:val="clear" w:color="auto" w:fill="FFFFFF"/>
        <w:autoSpaceDE w:val="0"/>
        <w:autoSpaceDN w:val="0"/>
        <w:adjustRightInd w:val="0"/>
        <w:ind w:firstLine="709"/>
        <w:jc w:val="both"/>
        <w:rPr>
          <w:sz w:val="22"/>
          <w:szCs w:val="22"/>
          <w:lang w:val="uk-UA"/>
        </w:rPr>
      </w:pPr>
    </w:p>
    <w:p w14:paraId="2E795062" w14:textId="0EA41259" w:rsidR="00E53018" w:rsidRPr="000E05A8" w:rsidRDefault="00E53018" w:rsidP="00E53018">
      <w:pPr>
        <w:shd w:val="clear" w:color="auto" w:fill="FFFFFF"/>
        <w:autoSpaceDE w:val="0"/>
        <w:autoSpaceDN w:val="0"/>
        <w:adjustRightInd w:val="0"/>
        <w:ind w:firstLine="709"/>
        <w:jc w:val="both"/>
        <w:rPr>
          <w:sz w:val="22"/>
          <w:szCs w:val="22"/>
          <w:lang w:val="uk-UA"/>
        </w:rPr>
      </w:pPr>
      <w:r w:rsidRPr="000E05A8">
        <w:rPr>
          <w:sz w:val="22"/>
          <w:szCs w:val="22"/>
          <w:lang w:val="uk-UA"/>
        </w:rPr>
        <w:t>Після звітної дати (</w:t>
      </w:r>
      <w:r w:rsidR="00980979" w:rsidRPr="000E05A8">
        <w:rPr>
          <w:sz w:val="22"/>
          <w:szCs w:val="22"/>
          <w:lang w:val="uk-UA"/>
        </w:rPr>
        <w:t>31 березня 2021</w:t>
      </w:r>
      <w:r w:rsidR="00FA7519" w:rsidRPr="000E05A8">
        <w:rPr>
          <w:sz w:val="22"/>
          <w:szCs w:val="22"/>
          <w:lang w:val="uk-UA"/>
        </w:rPr>
        <w:t xml:space="preserve"> року</w:t>
      </w:r>
      <w:r w:rsidRPr="000E05A8">
        <w:rPr>
          <w:sz w:val="22"/>
          <w:szCs w:val="22"/>
          <w:lang w:val="uk-UA"/>
        </w:rPr>
        <w:t>) не відбулося подій, які справили б істотний вплив на показники фінансової звітності Компанії.</w:t>
      </w:r>
    </w:p>
    <w:p w14:paraId="1D383AE9" w14:textId="24F4265B" w:rsidR="00752554" w:rsidRPr="000E05A8" w:rsidRDefault="00752554" w:rsidP="001B5D4D">
      <w:pPr>
        <w:shd w:val="clear" w:color="auto" w:fill="FFFFFF"/>
        <w:autoSpaceDE w:val="0"/>
        <w:autoSpaceDN w:val="0"/>
        <w:adjustRightInd w:val="0"/>
        <w:ind w:firstLine="709"/>
        <w:jc w:val="both"/>
        <w:rPr>
          <w:sz w:val="22"/>
          <w:szCs w:val="22"/>
          <w:lang w:val="uk-UA"/>
        </w:rPr>
      </w:pPr>
    </w:p>
    <w:p w14:paraId="3C7B30AC" w14:textId="77777777" w:rsidR="001B5D4D" w:rsidRPr="000E05A8" w:rsidRDefault="001B5D4D" w:rsidP="00794809">
      <w:pPr>
        <w:ind w:firstLine="709"/>
        <w:jc w:val="both"/>
        <w:outlineLvl w:val="0"/>
        <w:rPr>
          <w:b/>
          <w:sz w:val="22"/>
          <w:szCs w:val="22"/>
          <w:lang w:val="uk-UA"/>
        </w:rPr>
      </w:pPr>
    </w:p>
    <w:p w14:paraId="744EE335" w14:textId="77777777" w:rsidR="001B5D4D" w:rsidRPr="000E05A8" w:rsidRDefault="001B5D4D" w:rsidP="00794809">
      <w:pPr>
        <w:ind w:firstLine="709"/>
        <w:jc w:val="both"/>
        <w:outlineLvl w:val="0"/>
        <w:rPr>
          <w:b/>
          <w:sz w:val="22"/>
          <w:szCs w:val="22"/>
          <w:lang w:val="uk-UA"/>
        </w:rPr>
      </w:pPr>
    </w:p>
    <w:p w14:paraId="1138C3E8" w14:textId="60D2E2DB" w:rsidR="00752554" w:rsidRPr="000E05A8" w:rsidRDefault="00752554" w:rsidP="00794809">
      <w:pPr>
        <w:ind w:firstLine="709"/>
        <w:jc w:val="both"/>
        <w:outlineLvl w:val="0"/>
        <w:rPr>
          <w:b/>
          <w:sz w:val="22"/>
          <w:szCs w:val="22"/>
          <w:lang w:val="uk-UA"/>
        </w:rPr>
      </w:pPr>
      <w:r w:rsidRPr="000E05A8">
        <w:rPr>
          <w:b/>
          <w:sz w:val="22"/>
          <w:szCs w:val="22"/>
          <w:lang w:val="uk-UA"/>
        </w:rPr>
        <w:t>Директор    ТОВ «КУА «</w:t>
      </w:r>
      <w:r w:rsidR="009C66DC" w:rsidRPr="000E05A8">
        <w:rPr>
          <w:b/>
          <w:sz w:val="22"/>
          <w:szCs w:val="22"/>
          <w:lang w:val="uk-UA"/>
        </w:rPr>
        <w:t>ЕВРІС</w:t>
      </w:r>
      <w:r w:rsidRPr="000E05A8">
        <w:rPr>
          <w:b/>
          <w:sz w:val="22"/>
          <w:szCs w:val="22"/>
          <w:lang w:val="uk-UA"/>
        </w:rPr>
        <w:t xml:space="preserve">»                                                  </w:t>
      </w:r>
      <w:r w:rsidR="00655140" w:rsidRPr="000E05A8">
        <w:rPr>
          <w:b/>
          <w:sz w:val="22"/>
          <w:szCs w:val="22"/>
          <w:lang w:val="uk-UA"/>
        </w:rPr>
        <w:t xml:space="preserve">   </w:t>
      </w:r>
      <w:r w:rsidRPr="000E05A8">
        <w:rPr>
          <w:b/>
          <w:sz w:val="22"/>
          <w:szCs w:val="22"/>
          <w:lang w:val="uk-UA"/>
        </w:rPr>
        <w:t xml:space="preserve">  </w:t>
      </w:r>
      <w:r w:rsidR="009C66DC" w:rsidRPr="000E05A8">
        <w:rPr>
          <w:b/>
          <w:sz w:val="22"/>
          <w:szCs w:val="22"/>
          <w:lang w:val="uk-UA"/>
        </w:rPr>
        <w:t>Недобор С.І.</w:t>
      </w:r>
    </w:p>
    <w:p w14:paraId="49C044CB" w14:textId="77777777" w:rsidR="00752554" w:rsidRPr="000E05A8" w:rsidRDefault="00752554" w:rsidP="00794809">
      <w:pPr>
        <w:ind w:firstLine="709"/>
        <w:jc w:val="both"/>
        <w:outlineLvl w:val="0"/>
        <w:rPr>
          <w:b/>
          <w:sz w:val="22"/>
          <w:szCs w:val="22"/>
          <w:lang w:val="uk-UA"/>
        </w:rPr>
      </w:pPr>
    </w:p>
    <w:p w14:paraId="4FB6AA6C" w14:textId="059910E8" w:rsidR="00752554" w:rsidRPr="000E05A8" w:rsidRDefault="00FD0E20" w:rsidP="00794809">
      <w:pPr>
        <w:ind w:firstLine="709"/>
        <w:jc w:val="both"/>
        <w:outlineLvl w:val="0"/>
        <w:rPr>
          <w:b/>
          <w:sz w:val="22"/>
          <w:szCs w:val="22"/>
          <w:lang w:val="uk-UA"/>
        </w:rPr>
      </w:pPr>
      <w:r w:rsidRPr="000E05A8">
        <w:rPr>
          <w:b/>
          <w:sz w:val="22"/>
          <w:szCs w:val="22"/>
          <w:lang w:val="uk-UA"/>
        </w:rPr>
        <w:t>Головний бухгалтер</w:t>
      </w:r>
      <w:r w:rsidR="00752554" w:rsidRPr="000E05A8">
        <w:rPr>
          <w:b/>
          <w:sz w:val="22"/>
          <w:szCs w:val="22"/>
          <w:lang w:val="uk-UA"/>
        </w:rPr>
        <w:t xml:space="preserve">                                                </w:t>
      </w:r>
      <w:r w:rsidR="00B075AF" w:rsidRPr="000E05A8">
        <w:rPr>
          <w:b/>
          <w:sz w:val="22"/>
          <w:szCs w:val="22"/>
          <w:lang w:val="uk-UA"/>
        </w:rPr>
        <w:t xml:space="preserve">                             </w:t>
      </w:r>
      <w:r w:rsidRPr="000E05A8">
        <w:rPr>
          <w:b/>
          <w:sz w:val="22"/>
          <w:szCs w:val="22"/>
          <w:lang w:val="uk-UA"/>
        </w:rPr>
        <w:t>Єременко В.В.</w:t>
      </w:r>
    </w:p>
    <w:sectPr w:rsidR="00752554" w:rsidRPr="000E05A8" w:rsidSect="007443CA">
      <w:footerReference w:type="default" r:id="rId14"/>
      <w:pgSz w:w="11906" w:h="16838"/>
      <w:pgMar w:top="964" w:right="73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0986" w14:textId="77777777" w:rsidR="004032F2" w:rsidRDefault="004032F2" w:rsidP="003F6946">
      <w:r>
        <w:separator/>
      </w:r>
    </w:p>
  </w:endnote>
  <w:endnote w:type="continuationSeparator" w:id="0">
    <w:p w14:paraId="25D9680B" w14:textId="77777777" w:rsidR="004032F2" w:rsidRDefault="004032F2" w:rsidP="003F6946">
      <w:r>
        <w:continuationSeparator/>
      </w:r>
    </w:p>
  </w:endnote>
  <w:endnote w:type="continuationNotice" w:id="1">
    <w:p w14:paraId="62286F13" w14:textId="77777777" w:rsidR="004032F2" w:rsidRDefault="00403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nivers 45 Light">
    <w:altName w:val="Times New Roman"/>
    <w:panose1 w:val="00000000000000000000"/>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BoldMT">
    <w:charset w:val="B2"/>
    <w:family w:val="swiss"/>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CE24" w14:textId="77777777" w:rsidR="00980979" w:rsidRDefault="00980979">
    <w:pPr>
      <w:pStyle w:val="af3"/>
      <w:jc w:val="right"/>
    </w:pPr>
    <w:r>
      <w:fldChar w:fldCharType="begin"/>
    </w:r>
    <w:r>
      <w:instrText>PAGE   \* MERGEFORMAT</w:instrText>
    </w:r>
    <w:r>
      <w:fldChar w:fldCharType="separate"/>
    </w:r>
    <w:r>
      <w:rPr>
        <w:noProof/>
      </w:rPr>
      <w:t>21</w:t>
    </w:r>
    <w:r>
      <w:fldChar w:fldCharType="end"/>
    </w:r>
  </w:p>
  <w:p w14:paraId="78F6082D" w14:textId="77777777" w:rsidR="00980979" w:rsidRDefault="00980979">
    <w:pPr>
      <w:pStyle w:val="af3"/>
    </w:pPr>
  </w:p>
  <w:p w14:paraId="336D6066" w14:textId="77777777" w:rsidR="00980979" w:rsidRDefault="009809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CF47" w14:textId="77777777" w:rsidR="004032F2" w:rsidRDefault="004032F2" w:rsidP="003F6946">
      <w:r>
        <w:separator/>
      </w:r>
    </w:p>
  </w:footnote>
  <w:footnote w:type="continuationSeparator" w:id="0">
    <w:p w14:paraId="74E67D7D" w14:textId="77777777" w:rsidR="004032F2" w:rsidRDefault="004032F2" w:rsidP="003F6946">
      <w:r>
        <w:continuationSeparator/>
      </w:r>
    </w:p>
  </w:footnote>
  <w:footnote w:type="continuationNotice" w:id="1">
    <w:p w14:paraId="60E6A5BB" w14:textId="77777777" w:rsidR="004032F2" w:rsidRDefault="004032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CF7"/>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87F1E24"/>
    <w:multiLevelType w:val="hybridMultilevel"/>
    <w:tmpl w:val="63D080EE"/>
    <w:lvl w:ilvl="0" w:tplc="27AE81C2">
      <w:start w:val="175"/>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15:restartNumberingAfterBreak="0">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4E31C5"/>
    <w:multiLevelType w:val="multilevel"/>
    <w:tmpl w:val="118A21CC"/>
    <w:lvl w:ilvl="0">
      <w:start w:val="6"/>
      <w:numFmt w:val="decimal"/>
      <w:lvlText w:val="%1."/>
      <w:lvlJc w:val="left"/>
      <w:pPr>
        <w:ind w:left="360" w:hanging="360"/>
      </w:pPr>
      <w:rPr>
        <w:rFonts w:cs="Times New Roman" w:hint="default"/>
      </w:rPr>
    </w:lvl>
    <w:lvl w:ilvl="1">
      <w:start w:val="3"/>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5" w15:restartNumberingAfterBreak="0">
    <w:nsid w:val="1FBD5490"/>
    <w:multiLevelType w:val="multilevel"/>
    <w:tmpl w:val="E56A92B6"/>
    <w:lvl w:ilvl="0">
      <w:start w:val="3"/>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2B24E74"/>
    <w:multiLevelType w:val="hybridMultilevel"/>
    <w:tmpl w:val="04163D7C"/>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7" w15:restartNumberingAfterBreak="0">
    <w:nsid w:val="248E1478"/>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8" w15:restartNumberingAfterBreak="0">
    <w:nsid w:val="2A8C7A9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9" w15:restartNumberingAfterBreak="0">
    <w:nsid w:val="31165940"/>
    <w:multiLevelType w:val="multilevel"/>
    <w:tmpl w:val="6982202A"/>
    <w:lvl w:ilvl="0">
      <w:start w:val="6"/>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15A0180"/>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32867B5A"/>
    <w:multiLevelType w:val="hybridMultilevel"/>
    <w:tmpl w:val="794E41BA"/>
    <w:lvl w:ilvl="0" w:tplc="DB0622EE">
      <w:start w:val="1"/>
      <w:numFmt w:val="decimal"/>
      <w:lvlText w:val="%1."/>
      <w:lvlJc w:val="left"/>
      <w:pPr>
        <w:ind w:left="1789" w:hanging="360"/>
      </w:pPr>
      <w:rPr>
        <w:rFonts w:cs="Times New Roman" w:hint="default"/>
        <w:i w:val="0"/>
        <w:u w:val="none"/>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2" w15:restartNumberingAfterBreak="0">
    <w:nsid w:val="353C7B63"/>
    <w:multiLevelType w:val="hybridMultilevel"/>
    <w:tmpl w:val="C2FA717E"/>
    <w:lvl w:ilvl="0" w:tplc="95BA871C">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13" w15:restartNumberingAfterBreak="0">
    <w:nsid w:val="36871430"/>
    <w:multiLevelType w:val="multilevel"/>
    <w:tmpl w:val="794CD96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14819FB"/>
    <w:multiLevelType w:val="multilevel"/>
    <w:tmpl w:val="E2B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F622E"/>
    <w:multiLevelType w:val="multilevel"/>
    <w:tmpl w:val="7060A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AE3DDC"/>
    <w:multiLevelType w:val="multilevel"/>
    <w:tmpl w:val="BBA2CE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4F867C6"/>
    <w:multiLevelType w:val="multilevel"/>
    <w:tmpl w:val="591259C4"/>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D9D1B73"/>
    <w:multiLevelType w:val="hybridMultilevel"/>
    <w:tmpl w:val="7B1093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F0B7793"/>
    <w:multiLevelType w:val="multilevel"/>
    <w:tmpl w:val="3D7ADCD6"/>
    <w:lvl w:ilvl="0">
      <w:start w:val="1"/>
      <w:numFmt w:val="decimal"/>
      <w:lvlText w:val="7.3.%1."/>
      <w:lvlJc w:val="left"/>
      <w:rPr>
        <w:rFonts w:ascii="Times New Roman" w:eastAsia="Times New Roman" w:hAnsi="Times New Roman" w:cs="Times New Roman"/>
        <w:b/>
        <w:bCs/>
        <w:i/>
        <w:iCs/>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0057C30"/>
    <w:multiLevelType w:val="hybridMultilevel"/>
    <w:tmpl w:val="BA4EE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A1AC7"/>
    <w:multiLevelType w:val="hybridMultilevel"/>
    <w:tmpl w:val="142AF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AAA44B5"/>
    <w:multiLevelType w:val="multilevel"/>
    <w:tmpl w:val="3AAE875C"/>
    <w:lvl w:ilvl="0">
      <w:start w:val="7"/>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6CDC14D0"/>
    <w:multiLevelType w:val="multilevel"/>
    <w:tmpl w:val="5F4EBFD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E394D71"/>
    <w:multiLevelType w:val="hybridMultilevel"/>
    <w:tmpl w:val="62945BEA"/>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25" w15:restartNumberingAfterBreak="0">
    <w:nsid w:val="6FF318CE"/>
    <w:multiLevelType w:val="hybridMultilevel"/>
    <w:tmpl w:val="A1EED5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37465D"/>
    <w:multiLevelType w:val="hybridMultilevel"/>
    <w:tmpl w:val="0966CD7E"/>
    <w:lvl w:ilvl="0" w:tplc="91807118">
      <w:start w:val="3"/>
      <w:numFmt w:val="bullet"/>
      <w:lvlText w:val="-"/>
      <w:lvlJc w:val="left"/>
      <w:pPr>
        <w:tabs>
          <w:tab w:val="num" w:pos="717"/>
        </w:tabs>
        <w:ind w:left="717" w:hanging="360"/>
      </w:pPr>
      <w:rPr>
        <w:rFonts w:ascii="Times New Roman" w:eastAsia="Times New Roman" w:hAnsi="Times New Roman"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27" w15:restartNumberingAfterBreak="0">
    <w:nsid w:val="76FB509B"/>
    <w:multiLevelType w:val="multilevel"/>
    <w:tmpl w:val="3B2C8074"/>
    <w:lvl w:ilvl="0">
      <w:start w:val="6"/>
      <w:numFmt w:val="decimal"/>
      <w:lvlText w:val="%1."/>
      <w:lvlJc w:val="left"/>
      <w:pPr>
        <w:ind w:left="1440" w:hanging="360"/>
      </w:pPr>
      <w:rPr>
        <w:rFonts w:hint="default"/>
      </w:rPr>
    </w:lvl>
    <w:lvl w:ilvl="1">
      <w:start w:val="6"/>
      <w:numFmt w:val="decimal"/>
      <w:lvlText w:val="6.%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775B3842"/>
    <w:multiLevelType w:val="multilevel"/>
    <w:tmpl w:val="01547090"/>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92D799B"/>
    <w:multiLevelType w:val="hybridMultilevel"/>
    <w:tmpl w:val="20FE29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B6A6356"/>
    <w:multiLevelType w:val="multilevel"/>
    <w:tmpl w:val="70C8288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C582138"/>
    <w:multiLevelType w:val="hybridMultilevel"/>
    <w:tmpl w:val="16528A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26"/>
  </w:num>
  <w:num w:numId="6">
    <w:abstractNumId w:val="11"/>
  </w:num>
  <w:num w:numId="7">
    <w:abstractNumId w:val="20"/>
  </w:num>
  <w:num w:numId="8">
    <w:abstractNumId w:val="16"/>
  </w:num>
  <w:num w:numId="9">
    <w:abstractNumId w:val="23"/>
  </w:num>
  <w:num w:numId="10">
    <w:abstractNumId w:val="4"/>
  </w:num>
  <w:num w:numId="11">
    <w:abstractNumId w:val="13"/>
  </w:num>
  <w:num w:numId="12">
    <w:abstractNumId w:val="30"/>
  </w:num>
  <w:num w:numId="13">
    <w:abstractNumId w:val="28"/>
  </w:num>
  <w:num w:numId="14">
    <w:abstractNumId w:val="22"/>
  </w:num>
  <w:num w:numId="15">
    <w:abstractNumId w:val="26"/>
  </w:num>
  <w:num w:numId="16">
    <w:abstractNumId w:val="3"/>
    <w:lvlOverride w:ilvl="0">
      <w:startOverride w:val="1"/>
    </w:lvlOverride>
    <w:lvlOverride w:ilvl="1"/>
    <w:lvlOverride w:ilvl="2">
      <w:startOverride w:val="20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num>
  <w:num w:numId="19">
    <w:abstractNumId w:val="14"/>
  </w:num>
  <w:num w:numId="20">
    <w:abstractNumId w:val="17"/>
  </w:num>
  <w:num w:numId="21">
    <w:abstractNumId w:val="9"/>
  </w:num>
  <w:num w:numId="22">
    <w:abstractNumId w:val="27"/>
  </w:num>
  <w:num w:numId="23">
    <w:abstractNumId w:val="15"/>
  </w:num>
  <w:num w:numId="24">
    <w:abstractNumId w:val="1"/>
  </w:num>
  <w:num w:numId="25">
    <w:abstractNumId w:val="29"/>
  </w:num>
  <w:num w:numId="26">
    <w:abstractNumId w:val="12"/>
  </w:num>
  <w:num w:numId="27">
    <w:abstractNumId w:val="18"/>
  </w:num>
  <w:num w:numId="28">
    <w:abstractNumId w:val="21"/>
  </w:num>
  <w:num w:numId="29">
    <w:abstractNumId w:val="31"/>
  </w:num>
  <w:num w:numId="30">
    <w:abstractNumId w:val="6"/>
  </w:num>
  <w:num w:numId="31">
    <w:abstractNumId w:val="24"/>
  </w:num>
  <w:num w:numId="32">
    <w:abstractNumId w:val="8"/>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05"/>
    <w:rsid w:val="0000016A"/>
    <w:rsid w:val="00001610"/>
    <w:rsid w:val="000043EB"/>
    <w:rsid w:val="00004B2C"/>
    <w:rsid w:val="000054E0"/>
    <w:rsid w:val="00005744"/>
    <w:rsid w:val="00011764"/>
    <w:rsid w:val="00012366"/>
    <w:rsid w:val="00012C0B"/>
    <w:rsid w:val="00014077"/>
    <w:rsid w:val="00016599"/>
    <w:rsid w:val="000170EF"/>
    <w:rsid w:val="0002403E"/>
    <w:rsid w:val="00027443"/>
    <w:rsid w:val="00027EB1"/>
    <w:rsid w:val="00030722"/>
    <w:rsid w:val="00031119"/>
    <w:rsid w:val="000316E2"/>
    <w:rsid w:val="000331E9"/>
    <w:rsid w:val="00033595"/>
    <w:rsid w:val="000335B0"/>
    <w:rsid w:val="00033C78"/>
    <w:rsid w:val="00036260"/>
    <w:rsid w:val="00037387"/>
    <w:rsid w:val="000415E3"/>
    <w:rsid w:val="00041A0D"/>
    <w:rsid w:val="00042B92"/>
    <w:rsid w:val="0004438F"/>
    <w:rsid w:val="0004456F"/>
    <w:rsid w:val="00045481"/>
    <w:rsid w:val="00045965"/>
    <w:rsid w:val="000460E9"/>
    <w:rsid w:val="00047198"/>
    <w:rsid w:val="00050464"/>
    <w:rsid w:val="000539C9"/>
    <w:rsid w:val="00055223"/>
    <w:rsid w:val="00060588"/>
    <w:rsid w:val="00066088"/>
    <w:rsid w:val="00071988"/>
    <w:rsid w:val="00075750"/>
    <w:rsid w:val="00076B85"/>
    <w:rsid w:val="00081A5D"/>
    <w:rsid w:val="00082444"/>
    <w:rsid w:val="000829AE"/>
    <w:rsid w:val="00083376"/>
    <w:rsid w:val="00085DF3"/>
    <w:rsid w:val="00085E60"/>
    <w:rsid w:val="00086418"/>
    <w:rsid w:val="00086C32"/>
    <w:rsid w:val="00094120"/>
    <w:rsid w:val="00097677"/>
    <w:rsid w:val="000A6682"/>
    <w:rsid w:val="000B11FD"/>
    <w:rsid w:val="000B3768"/>
    <w:rsid w:val="000B7658"/>
    <w:rsid w:val="000C03B0"/>
    <w:rsid w:val="000C0AD4"/>
    <w:rsid w:val="000C0C30"/>
    <w:rsid w:val="000C20AE"/>
    <w:rsid w:val="000C6350"/>
    <w:rsid w:val="000C67AE"/>
    <w:rsid w:val="000D1F6F"/>
    <w:rsid w:val="000D475D"/>
    <w:rsid w:val="000D4C8F"/>
    <w:rsid w:val="000D513D"/>
    <w:rsid w:val="000E0496"/>
    <w:rsid w:val="000E05A8"/>
    <w:rsid w:val="000E451A"/>
    <w:rsid w:val="000E660E"/>
    <w:rsid w:val="000E6D58"/>
    <w:rsid w:val="000E7124"/>
    <w:rsid w:val="000F0969"/>
    <w:rsid w:val="000F459D"/>
    <w:rsid w:val="000F7582"/>
    <w:rsid w:val="000F79B4"/>
    <w:rsid w:val="00101B9C"/>
    <w:rsid w:val="001037ED"/>
    <w:rsid w:val="001041A6"/>
    <w:rsid w:val="00104D0E"/>
    <w:rsid w:val="00105AF3"/>
    <w:rsid w:val="0010665B"/>
    <w:rsid w:val="001107DA"/>
    <w:rsid w:val="0011211A"/>
    <w:rsid w:val="00112141"/>
    <w:rsid w:val="001138AB"/>
    <w:rsid w:val="001155FD"/>
    <w:rsid w:val="00115DDE"/>
    <w:rsid w:val="001214BC"/>
    <w:rsid w:val="001214FC"/>
    <w:rsid w:val="00121A2E"/>
    <w:rsid w:val="00127954"/>
    <w:rsid w:val="00127FA6"/>
    <w:rsid w:val="00131600"/>
    <w:rsid w:val="001319A9"/>
    <w:rsid w:val="0013218A"/>
    <w:rsid w:val="00134888"/>
    <w:rsid w:val="00136CE9"/>
    <w:rsid w:val="00137673"/>
    <w:rsid w:val="001378C5"/>
    <w:rsid w:val="00137D46"/>
    <w:rsid w:val="00140350"/>
    <w:rsid w:val="00141CD2"/>
    <w:rsid w:val="00143635"/>
    <w:rsid w:val="0014544B"/>
    <w:rsid w:val="00145E8D"/>
    <w:rsid w:val="0014731E"/>
    <w:rsid w:val="0014744C"/>
    <w:rsid w:val="00150280"/>
    <w:rsid w:val="00153A5C"/>
    <w:rsid w:val="00153D95"/>
    <w:rsid w:val="001551F3"/>
    <w:rsid w:val="0015582E"/>
    <w:rsid w:val="00155FBB"/>
    <w:rsid w:val="00156241"/>
    <w:rsid w:val="001569D5"/>
    <w:rsid w:val="00161BB1"/>
    <w:rsid w:val="00161CE1"/>
    <w:rsid w:val="00161E30"/>
    <w:rsid w:val="00161EC8"/>
    <w:rsid w:val="001633A8"/>
    <w:rsid w:val="0016348D"/>
    <w:rsid w:val="00165653"/>
    <w:rsid w:val="00165C29"/>
    <w:rsid w:val="00166421"/>
    <w:rsid w:val="00171979"/>
    <w:rsid w:val="00171C44"/>
    <w:rsid w:val="00173CB4"/>
    <w:rsid w:val="0017456E"/>
    <w:rsid w:val="0017690D"/>
    <w:rsid w:val="00177813"/>
    <w:rsid w:val="00177CFE"/>
    <w:rsid w:val="00182892"/>
    <w:rsid w:val="001847D1"/>
    <w:rsid w:val="001863DE"/>
    <w:rsid w:val="00187A00"/>
    <w:rsid w:val="00187A35"/>
    <w:rsid w:val="001912BB"/>
    <w:rsid w:val="001930F6"/>
    <w:rsid w:val="00193519"/>
    <w:rsid w:val="00193D70"/>
    <w:rsid w:val="001943C9"/>
    <w:rsid w:val="00195DDD"/>
    <w:rsid w:val="00196C8C"/>
    <w:rsid w:val="001A00CB"/>
    <w:rsid w:val="001A249D"/>
    <w:rsid w:val="001A2F99"/>
    <w:rsid w:val="001A2F9E"/>
    <w:rsid w:val="001B18AD"/>
    <w:rsid w:val="001B2B91"/>
    <w:rsid w:val="001B2D67"/>
    <w:rsid w:val="001B2F5B"/>
    <w:rsid w:val="001B40BF"/>
    <w:rsid w:val="001B43E3"/>
    <w:rsid w:val="001B487A"/>
    <w:rsid w:val="001B4F26"/>
    <w:rsid w:val="001B5D4D"/>
    <w:rsid w:val="001B6E22"/>
    <w:rsid w:val="001B7798"/>
    <w:rsid w:val="001C0513"/>
    <w:rsid w:val="001C2510"/>
    <w:rsid w:val="001C4B71"/>
    <w:rsid w:val="001C68CE"/>
    <w:rsid w:val="001D280C"/>
    <w:rsid w:val="001D4E9D"/>
    <w:rsid w:val="001D510A"/>
    <w:rsid w:val="001D5462"/>
    <w:rsid w:val="001D7D68"/>
    <w:rsid w:val="001E0948"/>
    <w:rsid w:val="001E30C6"/>
    <w:rsid w:val="001E31DE"/>
    <w:rsid w:val="001E34FA"/>
    <w:rsid w:val="001E5DA4"/>
    <w:rsid w:val="001E7395"/>
    <w:rsid w:val="001F05C1"/>
    <w:rsid w:val="001F07B6"/>
    <w:rsid w:val="001F0FCE"/>
    <w:rsid w:val="001F1BA5"/>
    <w:rsid w:val="001F2042"/>
    <w:rsid w:val="001F3CE1"/>
    <w:rsid w:val="001F48AC"/>
    <w:rsid w:val="001F566F"/>
    <w:rsid w:val="001F5E27"/>
    <w:rsid w:val="001F5FA2"/>
    <w:rsid w:val="001F72DE"/>
    <w:rsid w:val="00200137"/>
    <w:rsid w:val="00200FBA"/>
    <w:rsid w:val="002010B9"/>
    <w:rsid w:val="00201231"/>
    <w:rsid w:val="0020159F"/>
    <w:rsid w:val="002018DA"/>
    <w:rsid w:val="002024B8"/>
    <w:rsid w:val="002040D6"/>
    <w:rsid w:val="00205AEB"/>
    <w:rsid w:val="002075C5"/>
    <w:rsid w:val="00207779"/>
    <w:rsid w:val="002077F2"/>
    <w:rsid w:val="002103DA"/>
    <w:rsid w:val="00211961"/>
    <w:rsid w:val="0021349D"/>
    <w:rsid w:val="00214BB2"/>
    <w:rsid w:val="00215B68"/>
    <w:rsid w:val="00216B5D"/>
    <w:rsid w:val="00217439"/>
    <w:rsid w:val="002178AC"/>
    <w:rsid w:val="00220BDE"/>
    <w:rsid w:val="00221BF5"/>
    <w:rsid w:val="0022599D"/>
    <w:rsid w:val="00227E75"/>
    <w:rsid w:val="00230109"/>
    <w:rsid w:val="00231929"/>
    <w:rsid w:val="00232EA7"/>
    <w:rsid w:val="00234A17"/>
    <w:rsid w:val="002357A2"/>
    <w:rsid w:val="00235B2C"/>
    <w:rsid w:val="00235D5C"/>
    <w:rsid w:val="00236BE4"/>
    <w:rsid w:val="00240277"/>
    <w:rsid w:val="00241F79"/>
    <w:rsid w:val="002425F5"/>
    <w:rsid w:val="002430BA"/>
    <w:rsid w:val="002448C6"/>
    <w:rsid w:val="00245C65"/>
    <w:rsid w:val="00247307"/>
    <w:rsid w:val="00252646"/>
    <w:rsid w:val="002558BD"/>
    <w:rsid w:val="002576BE"/>
    <w:rsid w:val="00260D2D"/>
    <w:rsid w:val="00261930"/>
    <w:rsid w:val="00261B31"/>
    <w:rsid w:val="002628FB"/>
    <w:rsid w:val="002644CF"/>
    <w:rsid w:val="002646BD"/>
    <w:rsid w:val="00264FDD"/>
    <w:rsid w:val="00270EB6"/>
    <w:rsid w:val="00271430"/>
    <w:rsid w:val="00271F49"/>
    <w:rsid w:val="00274091"/>
    <w:rsid w:val="00274B10"/>
    <w:rsid w:val="00275B49"/>
    <w:rsid w:val="00276A00"/>
    <w:rsid w:val="002808AD"/>
    <w:rsid w:val="002824FD"/>
    <w:rsid w:val="00282B68"/>
    <w:rsid w:val="00284157"/>
    <w:rsid w:val="00290B97"/>
    <w:rsid w:val="00294A21"/>
    <w:rsid w:val="00294C3D"/>
    <w:rsid w:val="00294FC1"/>
    <w:rsid w:val="00296C98"/>
    <w:rsid w:val="0029701B"/>
    <w:rsid w:val="002A033D"/>
    <w:rsid w:val="002A3F8A"/>
    <w:rsid w:val="002A6510"/>
    <w:rsid w:val="002A7E0B"/>
    <w:rsid w:val="002B02C3"/>
    <w:rsid w:val="002B0B68"/>
    <w:rsid w:val="002B1165"/>
    <w:rsid w:val="002B16CC"/>
    <w:rsid w:val="002B1D2D"/>
    <w:rsid w:val="002B2B1D"/>
    <w:rsid w:val="002B3985"/>
    <w:rsid w:val="002B43A5"/>
    <w:rsid w:val="002B4CCB"/>
    <w:rsid w:val="002B754B"/>
    <w:rsid w:val="002C01A4"/>
    <w:rsid w:val="002C1492"/>
    <w:rsid w:val="002C1E71"/>
    <w:rsid w:val="002C1F3C"/>
    <w:rsid w:val="002C6D47"/>
    <w:rsid w:val="002C6F57"/>
    <w:rsid w:val="002D163E"/>
    <w:rsid w:val="002D1C2D"/>
    <w:rsid w:val="002D2C66"/>
    <w:rsid w:val="002D43E2"/>
    <w:rsid w:val="002D4D89"/>
    <w:rsid w:val="002D4DCE"/>
    <w:rsid w:val="002F1DA6"/>
    <w:rsid w:val="002F25D2"/>
    <w:rsid w:val="002F3966"/>
    <w:rsid w:val="002F3B3A"/>
    <w:rsid w:val="002F3D2C"/>
    <w:rsid w:val="002F6993"/>
    <w:rsid w:val="002F7025"/>
    <w:rsid w:val="002F7D2D"/>
    <w:rsid w:val="002F7E36"/>
    <w:rsid w:val="00301C52"/>
    <w:rsid w:val="003070AC"/>
    <w:rsid w:val="003102BB"/>
    <w:rsid w:val="003103B6"/>
    <w:rsid w:val="003107CB"/>
    <w:rsid w:val="00310848"/>
    <w:rsid w:val="00310B96"/>
    <w:rsid w:val="00311600"/>
    <w:rsid w:val="00312468"/>
    <w:rsid w:val="00313080"/>
    <w:rsid w:val="003137F7"/>
    <w:rsid w:val="00313DAD"/>
    <w:rsid w:val="00322065"/>
    <w:rsid w:val="00322941"/>
    <w:rsid w:val="00323734"/>
    <w:rsid w:val="0032427E"/>
    <w:rsid w:val="00324D53"/>
    <w:rsid w:val="0032667B"/>
    <w:rsid w:val="00335208"/>
    <w:rsid w:val="00337A54"/>
    <w:rsid w:val="0034108B"/>
    <w:rsid w:val="00341C8E"/>
    <w:rsid w:val="003420D1"/>
    <w:rsid w:val="00342C94"/>
    <w:rsid w:val="00343AA4"/>
    <w:rsid w:val="00343B28"/>
    <w:rsid w:val="00343BD4"/>
    <w:rsid w:val="0034523C"/>
    <w:rsid w:val="00347D1A"/>
    <w:rsid w:val="0035254A"/>
    <w:rsid w:val="003544D5"/>
    <w:rsid w:val="003550AB"/>
    <w:rsid w:val="00357AC2"/>
    <w:rsid w:val="00357CA2"/>
    <w:rsid w:val="00361741"/>
    <w:rsid w:val="0036324D"/>
    <w:rsid w:val="00363635"/>
    <w:rsid w:val="00364B52"/>
    <w:rsid w:val="00366F00"/>
    <w:rsid w:val="003676D0"/>
    <w:rsid w:val="00367DE2"/>
    <w:rsid w:val="003706EC"/>
    <w:rsid w:val="00370BD9"/>
    <w:rsid w:val="00370DCA"/>
    <w:rsid w:val="00371352"/>
    <w:rsid w:val="003745DB"/>
    <w:rsid w:val="00374957"/>
    <w:rsid w:val="0037524E"/>
    <w:rsid w:val="00377271"/>
    <w:rsid w:val="003831C9"/>
    <w:rsid w:val="0038469A"/>
    <w:rsid w:val="00385603"/>
    <w:rsid w:val="00386844"/>
    <w:rsid w:val="0039075A"/>
    <w:rsid w:val="0039093B"/>
    <w:rsid w:val="00392894"/>
    <w:rsid w:val="00393350"/>
    <w:rsid w:val="00394825"/>
    <w:rsid w:val="00395105"/>
    <w:rsid w:val="0039584A"/>
    <w:rsid w:val="003979A1"/>
    <w:rsid w:val="00397A2F"/>
    <w:rsid w:val="003A180B"/>
    <w:rsid w:val="003A1F16"/>
    <w:rsid w:val="003A32D4"/>
    <w:rsid w:val="003A3508"/>
    <w:rsid w:val="003A3E4C"/>
    <w:rsid w:val="003A4004"/>
    <w:rsid w:val="003B0A73"/>
    <w:rsid w:val="003B1FA9"/>
    <w:rsid w:val="003B260E"/>
    <w:rsid w:val="003B2A7C"/>
    <w:rsid w:val="003B3C8F"/>
    <w:rsid w:val="003B4522"/>
    <w:rsid w:val="003B4ACE"/>
    <w:rsid w:val="003B4B72"/>
    <w:rsid w:val="003B5D80"/>
    <w:rsid w:val="003B67F7"/>
    <w:rsid w:val="003B6F34"/>
    <w:rsid w:val="003B7D21"/>
    <w:rsid w:val="003C182B"/>
    <w:rsid w:val="003C1A71"/>
    <w:rsid w:val="003C6697"/>
    <w:rsid w:val="003C73D8"/>
    <w:rsid w:val="003D2D21"/>
    <w:rsid w:val="003D47E9"/>
    <w:rsid w:val="003D4FF6"/>
    <w:rsid w:val="003D6418"/>
    <w:rsid w:val="003D7946"/>
    <w:rsid w:val="003E16B7"/>
    <w:rsid w:val="003E5793"/>
    <w:rsid w:val="003E6264"/>
    <w:rsid w:val="003F00F5"/>
    <w:rsid w:val="003F01D8"/>
    <w:rsid w:val="003F076D"/>
    <w:rsid w:val="003F08D1"/>
    <w:rsid w:val="003F3A61"/>
    <w:rsid w:val="003F4F9C"/>
    <w:rsid w:val="003F6946"/>
    <w:rsid w:val="003F704C"/>
    <w:rsid w:val="003F73FF"/>
    <w:rsid w:val="003F7A71"/>
    <w:rsid w:val="00400776"/>
    <w:rsid w:val="00400A1B"/>
    <w:rsid w:val="004032F2"/>
    <w:rsid w:val="004048CC"/>
    <w:rsid w:val="00407423"/>
    <w:rsid w:val="00410CBD"/>
    <w:rsid w:val="004111AF"/>
    <w:rsid w:val="0041467C"/>
    <w:rsid w:val="00416BD2"/>
    <w:rsid w:val="00417A52"/>
    <w:rsid w:val="0042011C"/>
    <w:rsid w:val="004209C0"/>
    <w:rsid w:val="00421197"/>
    <w:rsid w:val="00423D88"/>
    <w:rsid w:val="0042409E"/>
    <w:rsid w:val="00426036"/>
    <w:rsid w:val="0042683D"/>
    <w:rsid w:val="004275EF"/>
    <w:rsid w:val="004326C6"/>
    <w:rsid w:val="00442D8B"/>
    <w:rsid w:val="00447167"/>
    <w:rsid w:val="00447F16"/>
    <w:rsid w:val="0045043D"/>
    <w:rsid w:val="004510D0"/>
    <w:rsid w:val="00451793"/>
    <w:rsid w:val="0045188A"/>
    <w:rsid w:val="00451C65"/>
    <w:rsid w:val="004524B4"/>
    <w:rsid w:val="00452695"/>
    <w:rsid w:val="00452775"/>
    <w:rsid w:val="00452B33"/>
    <w:rsid w:val="00452FD4"/>
    <w:rsid w:val="004536ED"/>
    <w:rsid w:val="00454BDA"/>
    <w:rsid w:val="00457D37"/>
    <w:rsid w:val="00457F2D"/>
    <w:rsid w:val="00464FF6"/>
    <w:rsid w:val="004713AE"/>
    <w:rsid w:val="00471CF4"/>
    <w:rsid w:val="00472BB3"/>
    <w:rsid w:val="00473F76"/>
    <w:rsid w:val="004752AE"/>
    <w:rsid w:val="00477B50"/>
    <w:rsid w:val="00477BE9"/>
    <w:rsid w:val="00483D81"/>
    <w:rsid w:val="00483E6B"/>
    <w:rsid w:val="00486AEF"/>
    <w:rsid w:val="00487933"/>
    <w:rsid w:val="0049079B"/>
    <w:rsid w:val="00492E12"/>
    <w:rsid w:val="00493050"/>
    <w:rsid w:val="00493913"/>
    <w:rsid w:val="00493D37"/>
    <w:rsid w:val="00496C6A"/>
    <w:rsid w:val="00496FF3"/>
    <w:rsid w:val="00497148"/>
    <w:rsid w:val="004A0A16"/>
    <w:rsid w:val="004A28D2"/>
    <w:rsid w:val="004A583A"/>
    <w:rsid w:val="004A5AD2"/>
    <w:rsid w:val="004A6097"/>
    <w:rsid w:val="004B0444"/>
    <w:rsid w:val="004B060B"/>
    <w:rsid w:val="004B0B05"/>
    <w:rsid w:val="004B662D"/>
    <w:rsid w:val="004B797D"/>
    <w:rsid w:val="004C0A00"/>
    <w:rsid w:val="004C142E"/>
    <w:rsid w:val="004C1642"/>
    <w:rsid w:val="004C1CB9"/>
    <w:rsid w:val="004C25D1"/>
    <w:rsid w:val="004C3977"/>
    <w:rsid w:val="004C3DB6"/>
    <w:rsid w:val="004C4FEA"/>
    <w:rsid w:val="004C5614"/>
    <w:rsid w:val="004C573D"/>
    <w:rsid w:val="004C5831"/>
    <w:rsid w:val="004C5E68"/>
    <w:rsid w:val="004C6D03"/>
    <w:rsid w:val="004C6E68"/>
    <w:rsid w:val="004D0934"/>
    <w:rsid w:val="004D1899"/>
    <w:rsid w:val="004D1BA9"/>
    <w:rsid w:val="004D1CE2"/>
    <w:rsid w:val="004D26EF"/>
    <w:rsid w:val="004D5337"/>
    <w:rsid w:val="004D5BAD"/>
    <w:rsid w:val="004D68E2"/>
    <w:rsid w:val="004D699D"/>
    <w:rsid w:val="004E24E9"/>
    <w:rsid w:val="004E3447"/>
    <w:rsid w:val="004E5085"/>
    <w:rsid w:val="004E598C"/>
    <w:rsid w:val="004E6CDC"/>
    <w:rsid w:val="004E77F9"/>
    <w:rsid w:val="004E7875"/>
    <w:rsid w:val="004F5917"/>
    <w:rsid w:val="004F65D5"/>
    <w:rsid w:val="005007F2"/>
    <w:rsid w:val="00504089"/>
    <w:rsid w:val="0050799F"/>
    <w:rsid w:val="005114CF"/>
    <w:rsid w:val="00511720"/>
    <w:rsid w:val="00511914"/>
    <w:rsid w:val="0051218B"/>
    <w:rsid w:val="005160F6"/>
    <w:rsid w:val="00516FF4"/>
    <w:rsid w:val="005170B2"/>
    <w:rsid w:val="00517117"/>
    <w:rsid w:val="005179EA"/>
    <w:rsid w:val="00517E05"/>
    <w:rsid w:val="005210AF"/>
    <w:rsid w:val="005220BC"/>
    <w:rsid w:val="00522F49"/>
    <w:rsid w:val="00527C81"/>
    <w:rsid w:val="00533818"/>
    <w:rsid w:val="00534FB3"/>
    <w:rsid w:val="00535581"/>
    <w:rsid w:val="00535D60"/>
    <w:rsid w:val="0053743A"/>
    <w:rsid w:val="00540488"/>
    <w:rsid w:val="0054085B"/>
    <w:rsid w:val="00541317"/>
    <w:rsid w:val="005428B9"/>
    <w:rsid w:val="00544F73"/>
    <w:rsid w:val="00546F9B"/>
    <w:rsid w:val="00547AD8"/>
    <w:rsid w:val="0055020E"/>
    <w:rsid w:val="0055230C"/>
    <w:rsid w:val="00552674"/>
    <w:rsid w:val="005532C7"/>
    <w:rsid w:val="00554EE7"/>
    <w:rsid w:val="005559F3"/>
    <w:rsid w:val="00561F1C"/>
    <w:rsid w:val="00567C9D"/>
    <w:rsid w:val="005742B3"/>
    <w:rsid w:val="00574F66"/>
    <w:rsid w:val="005754FE"/>
    <w:rsid w:val="00575920"/>
    <w:rsid w:val="00577440"/>
    <w:rsid w:val="0058090C"/>
    <w:rsid w:val="00580A28"/>
    <w:rsid w:val="00581D25"/>
    <w:rsid w:val="00582F17"/>
    <w:rsid w:val="005836B4"/>
    <w:rsid w:val="00585D9E"/>
    <w:rsid w:val="00587ED9"/>
    <w:rsid w:val="00593744"/>
    <w:rsid w:val="00594B6D"/>
    <w:rsid w:val="00595255"/>
    <w:rsid w:val="005954F5"/>
    <w:rsid w:val="00596EC5"/>
    <w:rsid w:val="005A00E0"/>
    <w:rsid w:val="005A0754"/>
    <w:rsid w:val="005A3EE0"/>
    <w:rsid w:val="005A5C49"/>
    <w:rsid w:val="005A5D1C"/>
    <w:rsid w:val="005A5D55"/>
    <w:rsid w:val="005A7A5F"/>
    <w:rsid w:val="005B089D"/>
    <w:rsid w:val="005B1245"/>
    <w:rsid w:val="005B12C3"/>
    <w:rsid w:val="005B38BC"/>
    <w:rsid w:val="005B4842"/>
    <w:rsid w:val="005B51DF"/>
    <w:rsid w:val="005B5F17"/>
    <w:rsid w:val="005B63E1"/>
    <w:rsid w:val="005C0FBD"/>
    <w:rsid w:val="005C2280"/>
    <w:rsid w:val="005C3B18"/>
    <w:rsid w:val="005C7CF2"/>
    <w:rsid w:val="005C7FDF"/>
    <w:rsid w:val="005D0B24"/>
    <w:rsid w:val="005D3201"/>
    <w:rsid w:val="005D4DE3"/>
    <w:rsid w:val="005D685B"/>
    <w:rsid w:val="005D7179"/>
    <w:rsid w:val="005E0FDD"/>
    <w:rsid w:val="005E1E37"/>
    <w:rsid w:val="005E2B17"/>
    <w:rsid w:val="005E398F"/>
    <w:rsid w:val="005E3F93"/>
    <w:rsid w:val="005E40C1"/>
    <w:rsid w:val="005E67E8"/>
    <w:rsid w:val="005E7575"/>
    <w:rsid w:val="005F0007"/>
    <w:rsid w:val="005F069C"/>
    <w:rsid w:val="005F2801"/>
    <w:rsid w:val="005F5088"/>
    <w:rsid w:val="005F5B8E"/>
    <w:rsid w:val="005F6348"/>
    <w:rsid w:val="00600066"/>
    <w:rsid w:val="0060039E"/>
    <w:rsid w:val="006045E2"/>
    <w:rsid w:val="006048BC"/>
    <w:rsid w:val="006050B5"/>
    <w:rsid w:val="0060515F"/>
    <w:rsid w:val="006051C0"/>
    <w:rsid w:val="0060624F"/>
    <w:rsid w:val="00612CE8"/>
    <w:rsid w:val="00613FBE"/>
    <w:rsid w:val="0061581D"/>
    <w:rsid w:val="00617A5E"/>
    <w:rsid w:val="00620057"/>
    <w:rsid w:val="006209D9"/>
    <w:rsid w:val="00621307"/>
    <w:rsid w:val="00621944"/>
    <w:rsid w:val="00623651"/>
    <w:rsid w:val="00623F6F"/>
    <w:rsid w:val="00623F87"/>
    <w:rsid w:val="00624696"/>
    <w:rsid w:val="00624D68"/>
    <w:rsid w:val="0063134E"/>
    <w:rsid w:val="00635E6C"/>
    <w:rsid w:val="00642405"/>
    <w:rsid w:val="006440D8"/>
    <w:rsid w:val="006464D5"/>
    <w:rsid w:val="00646660"/>
    <w:rsid w:val="006466D5"/>
    <w:rsid w:val="00647A80"/>
    <w:rsid w:val="006504B4"/>
    <w:rsid w:val="0065171E"/>
    <w:rsid w:val="00651E96"/>
    <w:rsid w:val="00654035"/>
    <w:rsid w:val="00655140"/>
    <w:rsid w:val="00661A77"/>
    <w:rsid w:val="00661CF0"/>
    <w:rsid w:val="00664558"/>
    <w:rsid w:val="006658D3"/>
    <w:rsid w:val="00665F88"/>
    <w:rsid w:val="006709B4"/>
    <w:rsid w:val="0067142F"/>
    <w:rsid w:val="00671C77"/>
    <w:rsid w:val="0067244B"/>
    <w:rsid w:val="0067359C"/>
    <w:rsid w:val="0067379B"/>
    <w:rsid w:val="00675DA3"/>
    <w:rsid w:val="00676416"/>
    <w:rsid w:val="006767B2"/>
    <w:rsid w:val="006776C1"/>
    <w:rsid w:val="006831B3"/>
    <w:rsid w:val="00683511"/>
    <w:rsid w:val="006839A7"/>
    <w:rsid w:val="00684D6A"/>
    <w:rsid w:val="006854EE"/>
    <w:rsid w:val="00687905"/>
    <w:rsid w:val="00693D2F"/>
    <w:rsid w:val="00693FD7"/>
    <w:rsid w:val="006943DA"/>
    <w:rsid w:val="00695718"/>
    <w:rsid w:val="006A004B"/>
    <w:rsid w:val="006A0865"/>
    <w:rsid w:val="006A3D92"/>
    <w:rsid w:val="006A44B8"/>
    <w:rsid w:val="006A6E50"/>
    <w:rsid w:val="006A76DC"/>
    <w:rsid w:val="006B2E2E"/>
    <w:rsid w:val="006B5B84"/>
    <w:rsid w:val="006B674D"/>
    <w:rsid w:val="006B6FE1"/>
    <w:rsid w:val="006B71BA"/>
    <w:rsid w:val="006B7A4F"/>
    <w:rsid w:val="006B7BFA"/>
    <w:rsid w:val="006B7E72"/>
    <w:rsid w:val="006C3CD6"/>
    <w:rsid w:val="006C48BC"/>
    <w:rsid w:val="006C5C1B"/>
    <w:rsid w:val="006C6C60"/>
    <w:rsid w:val="006D4F8E"/>
    <w:rsid w:val="006D520C"/>
    <w:rsid w:val="006D6BAE"/>
    <w:rsid w:val="006D75BA"/>
    <w:rsid w:val="006E1607"/>
    <w:rsid w:val="006E1D56"/>
    <w:rsid w:val="006E28DF"/>
    <w:rsid w:val="006E40A2"/>
    <w:rsid w:val="006E4B74"/>
    <w:rsid w:val="006E51C2"/>
    <w:rsid w:val="006E6984"/>
    <w:rsid w:val="006E71DC"/>
    <w:rsid w:val="006F2994"/>
    <w:rsid w:val="006F359E"/>
    <w:rsid w:val="0070082B"/>
    <w:rsid w:val="00702F63"/>
    <w:rsid w:val="00703711"/>
    <w:rsid w:val="00703B59"/>
    <w:rsid w:val="00703E3C"/>
    <w:rsid w:val="007045BB"/>
    <w:rsid w:val="007050F5"/>
    <w:rsid w:val="00705882"/>
    <w:rsid w:val="00707F40"/>
    <w:rsid w:val="0071029C"/>
    <w:rsid w:val="0071064B"/>
    <w:rsid w:val="00710F95"/>
    <w:rsid w:val="00713B83"/>
    <w:rsid w:val="00713DE1"/>
    <w:rsid w:val="00714666"/>
    <w:rsid w:val="00714B84"/>
    <w:rsid w:val="00715546"/>
    <w:rsid w:val="007178B9"/>
    <w:rsid w:val="00721710"/>
    <w:rsid w:val="0072183A"/>
    <w:rsid w:val="00722320"/>
    <w:rsid w:val="00727792"/>
    <w:rsid w:val="00733274"/>
    <w:rsid w:val="0073415A"/>
    <w:rsid w:val="00734ADA"/>
    <w:rsid w:val="00734BD8"/>
    <w:rsid w:val="007355FF"/>
    <w:rsid w:val="0073703E"/>
    <w:rsid w:val="00737339"/>
    <w:rsid w:val="007376E2"/>
    <w:rsid w:val="00741ADA"/>
    <w:rsid w:val="00741DDB"/>
    <w:rsid w:val="00741E80"/>
    <w:rsid w:val="0074258D"/>
    <w:rsid w:val="007443CA"/>
    <w:rsid w:val="00744EF4"/>
    <w:rsid w:val="00745263"/>
    <w:rsid w:val="0074569D"/>
    <w:rsid w:val="007456A8"/>
    <w:rsid w:val="00752554"/>
    <w:rsid w:val="00753417"/>
    <w:rsid w:val="007573A5"/>
    <w:rsid w:val="00761D8F"/>
    <w:rsid w:val="0076259E"/>
    <w:rsid w:val="00764A32"/>
    <w:rsid w:val="00770D28"/>
    <w:rsid w:val="00773AE7"/>
    <w:rsid w:val="0077572D"/>
    <w:rsid w:val="00777E20"/>
    <w:rsid w:val="00777FBB"/>
    <w:rsid w:val="00780880"/>
    <w:rsid w:val="0078195F"/>
    <w:rsid w:val="00781E2D"/>
    <w:rsid w:val="007826E7"/>
    <w:rsid w:val="00782B99"/>
    <w:rsid w:val="007871F1"/>
    <w:rsid w:val="007871FD"/>
    <w:rsid w:val="00791A0C"/>
    <w:rsid w:val="007923F8"/>
    <w:rsid w:val="00793F75"/>
    <w:rsid w:val="00794809"/>
    <w:rsid w:val="0079646E"/>
    <w:rsid w:val="00796644"/>
    <w:rsid w:val="007A4732"/>
    <w:rsid w:val="007A49DF"/>
    <w:rsid w:val="007A4A75"/>
    <w:rsid w:val="007A4E75"/>
    <w:rsid w:val="007A64D5"/>
    <w:rsid w:val="007A6F49"/>
    <w:rsid w:val="007B3BC2"/>
    <w:rsid w:val="007B4043"/>
    <w:rsid w:val="007B41F8"/>
    <w:rsid w:val="007B4F9C"/>
    <w:rsid w:val="007B596A"/>
    <w:rsid w:val="007B662F"/>
    <w:rsid w:val="007B76E5"/>
    <w:rsid w:val="007C0E80"/>
    <w:rsid w:val="007C1319"/>
    <w:rsid w:val="007C1BB5"/>
    <w:rsid w:val="007C2C51"/>
    <w:rsid w:val="007C3089"/>
    <w:rsid w:val="007C39C0"/>
    <w:rsid w:val="007C3FDC"/>
    <w:rsid w:val="007C4254"/>
    <w:rsid w:val="007C6521"/>
    <w:rsid w:val="007C7E95"/>
    <w:rsid w:val="007D4610"/>
    <w:rsid w:val="007D637D"/>
    <w:rsid w:val="007E1234"/>
    <w:rsid w:val="007E1725"/>
    <w:rsid w:val="007E186F"/>
    <w:rsid w:val="007E6B8E"/>
    <w:rsid w:val="007E7DEE"/>
    <w:rsid w:val="007F0BFF"/>
    <w:rsid w:val="007F2EBE"/>
    <w:rsid w:val="007F38DB"/>
    <w:rsid w:val="007F4035"/>
    <w:rsid w:val="007F7091"/>
    <w:rsid w:val="007F7C14"/>
    <w:rsid w:val="00803741"/>
    <w:rsid w:val="008046B3"/>
    <w:rsid w:val="008060D0"/>
    <w:rsid w:val="00806452"/>
    <w:rsid w:val="00806624"/>
    <w:rsid w:val="008072DE"/>
    <w:rsid w:val="00810415"/>
    <w:rsid w:val="00811BAC"/>
    <w:rsid w:val="00814AD2"/>
    <w:rsid w:val="00815BEB"/>
    <w:rsid w:val="00816106"/>
    <w:rsid w:val="008172FF"/>
    <w:rsid w:val="008225BC"/>
    <w:rsid w:val="00823090"/>
    <w:rsid w:val="00827C5E"/>
    <w:rsid w:val="00831192"/>
    <w:rsid w:val="0083234C"/>
    <w:rsid w:val="00832A6E"/>
    <w:rsid w:val="00835734"/>
    <w:rsid w:val="0083584E"/>
    <w:rsid w:val="008373E1"/>
    <w:rsid w:val="0084102B"/>
    <w:rsid w:val="00841838"/>
    <w:rsid w:val="00841AE9"/>
    <w:rsid w:val="00845012"/>
    <w:rsid w:val="00845556"/>
    <w:rsid w:val="00845A8B"/>
    <w:rsid w:val="0085174F"/>
    <w:rsid w:val="00853C5B"/>
    <w:rsid w:val="008568E1"/>
    <w:rsid w:val="00860BCB"/>
    <w:rsid w:val="00861033"/>
    <w:rsid w:val="00861C32"/>
    <w:rsid w:val="00866AF4"/>
    <w:rsid w:val="00866E54"/>
    <w:rsid w:val="008672D0"/>
    <w:rsid w:val="00870BFA"/>
    <w:rsid w:val="00875372"/>
    <w:rsid w:val="00876279"/>
    <w:rsid w:val="00881C49"/>
    <w:rsid w:val="00882CD8"/>
    <w:rsid w:val="00883CB1"/>
    <w:rsid w:val="00883F7F"/>
    <w:rsid w:val="00886336"/>
    <w:rsid w:val="008865B9"/>
    <w:rsid w:val="00887454"/>
    <w:rsid w:val="0088798F"/>
    <w:rsid w:val="00887BF5"/>
    <w:rsid w:val="00891974"/>
    <w:rsid w:val="00893423"/>
    <w:rsid w:val="0089366B"/>
    <w:rsid w:val="0089510C"/>
    <w:rsid w:val="00896046"/>
    <w:rsid w:val="008A1117"/>
    <w:rsid w:val="008A2203"/>
    <w:rsid w:val="008A5F82"/>
    <w:rsid w:val="008A6C32"/>
    <w:rsid w:val="008B0C49"/>
    <w:rsid w:val="008B164C"/>
    <w:rsid w:val="008B18EE"/>
    <w:rsid w:val="008B1ED5"/>
    <w:rsid w:val="008B3702"/>
    <w:rsid w:val="008B3F07"/>
    <w:rsid w:val="008B4B64"/>
    <w:rsid w:val="008B52CE"/>
    <w:rsid w:val="008B685E"/>
    <w:rsid w:val="008B73BD"/>
    <w:rsid w:val="008C1275"/>
    <w:rsid w:val="008C2A36"/>
    <w:rsid w:val="008C2BAC"/>
    <w:rsid w:val="008C47C1"/>
    <w:rsid w:val="008C4BC1"/>
    <w:rsid w:val="008C50B5"/>
    <w:rsid w:val="008C5EA5"/>
    <w:rsid w:val="008C5F90"/>
    <w:rsid w:val="008C6FAD"/>
    <w:rsid w:val="008D1233"/>
    <w:rsid w:val="008D1B3A"/>
    <w:rsid w:val="008D251F"/>
    <w:rsid w:val="008D2999"/>
    <w:rsid w:val="008D2B28"/>
    <w:rsid w:val="008D4475"/>
    <w:rsid w:val="008D49F5"/>
    <w:rsid w:val="008D5DC7"/>
    <w:rsid w:val="008D6F49"/>
    <w:rsid w:val="008E387B"/>
    <w:rsid w:val="008E3C66"/>
    <w:rsid w:val="008E48DC"/>
    <w:rsid w:val="008E4DC3"/>
    <w:rsid w:val="008E5DA4"/>
    <w:rsid w:val="008E6C8E"/>
    <w:rsid w:val="008F0BE5"/>
    <w:rsid w:val="008F20B4"/>
    <w:rsid w:val="008F4EAC"/>
    <w:rsid w:val="008F5CEB"/>
    <w:rsid w:val="008F6BAE"/>
    <w:rsid w:val="008F7A44"/>
    <w:rsid w:val="0090120F"/>
    <w:rsid w:val="00901C23"/>
    <w:rsid w:val="00904522"/>
    <w:rsid w:val="0090536B"/>
    <w:rsid w:val="009058CA"/>
    <w:rsid w:val="00905EAB"/>
    <w:rsid w:val="00906AAA"/>
    <w:rsid w:val="00910EC1"/>
    <w:rsid w:val="009136DE"/>
    <w:rsid w:val="0091454D"/>
    <w:rsid w:val="00914A60"/>
    <w:rsid w:val="00915C0D"/>
    <w:rsid w:val="009164D6"/>
    <w:rsid w:val="009170ED"/>
    <w:rsid w:val="00922031"/>
    <w:rsid w:val="00922095"/>
    <w:rsid w:val="00922F6A"/>
    <w:rsid w:val="009242F1"/>
    <w:rsid w:val="009251A8"/>
    <w:rsid w:val="009257DD"/>
    <w:rsid w:val="00925D64"/>
    <w:rsid w:val="009266C6"/>
    <w:rsid w:val="00927030"/>
    <w:rsid w:val="00930066"/>
    <w:rsid w:val="009301BD"/>
    <w:rsid w:val="00934021"/>
    <w:rsid w:val="009343B3"/>
    <w:rsid w:val="00934E0A"/>
    <w:rsid w:val="00934E8F"/>
    <w:rsid w:val="0093528A"/>
    <w:rsid w:val="00944F4A"/>
    <w:rsid w:val="0094751D"/>
    <w:rsid w:val="0094760C"/>
    <w:rsid w:val="00953A1E"/>
    <w:rsid w:val="00954DC1"/>
    <w:rsid w:val="00955A19"/>
    <w:rsid w:val="00963EAF"/>
    <w:rsid w:val="00965559"/>
    <w:rsid w:val="0096740F"/>
    <w:rsid w:val="009707D2"/>
    <w:rsid w:val="00970FBA"/>
    <w:rsid w:val="009727DE"/>
    <w:rsid w:val="00972A2C"/>
    <w:rsid w:val="00976E74"/>
    <w:rsid w:val="009802B8"/>
    <w:rsid w:val="0098080B"/>
    <w:rsid w:val="00980979"/>
    <w:rsid w:val="009823A9"/>
    <w:rsid w:val="009859FE"/>
    <w:rsid w:val="0098683F"/>
    <w:rsid w:val="0099034E"/>
    <w:rsid w:val="00994FA8"/>
    <w:rsid w:val="00995344"/>
    <w:rsid w:val="00996618"/>
    <w:rsid w:val="00997B14"/>
    <w:rsid w:val="009A188F"/>
    <w:rsid w:val="009A3AB3"/>
    <w:rsid w:val="009A41C8"/>
    <w:rsid w:val="009A667A"/>
    <w:rsid w:val="009B335A"/>
    <w:rsid w:val="009B39E7"/>
    <w:rsid w:val="009B421D"/>
    <w:rsid w:val="009B4453"/>
    <w:rsid w:val="009B5B6E"/>
    <w:rsid w:val="009B6123"/>
    <w:rsid w:val="009B7F7E"/>
    <w:rsid w:val="009C103F"/>
    <w:rsid w:val="009C2F6E"/>
    <w:rsid w:val="009C5180"/>
    <w:rsid w:val="009C5BD4"/>
    <w:rsid w:val="009C66DC"/>
    <w:rsid w:val="009D0B6A"/>
    <w:rsid w:val="009D145F"/>
    <w:rsid w:val="009D3FF0"/>
    <w:rsid w:val="009D4960"/>
    <w:rsid w:val="009D4EF9"/>
    <w:rsid w:val="009D5E19"/>
    <w:rsid w:val="009D7224"/>
    <w:rsid w:val="009E22D1"/>
    <w:rsid w:val="009E298B"/>
    <w:rsid w:val="009E378D"/>
    <w:rsid w:val="009E3F9E"/>
    <w:rsid w:val="009E40C6"/>
    <w:rsid w:val="009E53AB"/>
    <w:rsid w:val="009E72D1"/>
    <w:rsid w:val="009F16C7"/>
    <w:rsid w:val="009F1BF0"/>
    <w:rsid w:val="009F219D"/>
    <w:rsid w:val="009F2571"/>
    <w:rsid w:val="009F6470"/>
    <w:rsid w:val="009F668F"/>
    <w:rsid w:val="00A001EE"/>
    <w:rsid w:val="00A0092C"/>
    <w:rsid w:val="00A0347E"/>
    <w:rsid w:val="00A038E6"/>
    <w:rsid w:val="00A04A34"/>
    <w:rsid w:val="00A051ED"/>
    <w:rsid w:val="00A06472"/>
    <w:rsid w:val="00A11C60"/>
    <w:rsid w:val="00A12603"/>
    <w:rsid w:val="00A13B46"/>
    <w:rsid w:val="00A14212"/>
    <w:rsid w:val="00A1478C"/>
    <w:rsid w:val="00A154AB"/>
    <w:rsid w:val="00A159FB"/>
    <w:rsid w:val="00A16DDA"/>
    <w:rsid w:val="00A17559"/>
    <w:rsid w:val="00A17C09"/>
    <w:rsid w:val="00A25114"/>
    <w:rsid w:val="00A25650"/>
    <w:rsid w:val="00A2579E"/>
    <w:rsid w:val="00A26288"/>
    <w:rsid w:val="00A26558"/>
    <w:rsid w:val="00A31836"/>
    <w:rsid w:val="00A32932"/>
    <w:rsid w:val="00A32DA8"/>
    <w:rsid w:val="00A33A0C"/>
    <w:rsid w:val="00A33E8E"/>
    <w:rsid w:val="00A35AA4"/>
    <w:rsid w:val="00A36E48"/>
    <w:rsid w:val="00A414FD"/>
    <w:rsid w:val="00A42213"/>
    <w:rsid w:val="00A42474"/>
    <w:rsid w:val="00A42971"/>
    <w:rsid w:val="00A42E87"/>
    <w:rsid w:val="00A432B3"/>
    <w:rsid w:val="00A46121"/>
    <w:rsid w:val="00A47136"/>
    <w:rsid w:val="00A5064D"/>
    <w:rsid w:val="00A511B0"/>
    <w:rsid w:val="00A51A22"/>
    <w:rsid w:val="00A51B57"/>
    <w:rsid w:val="00A523AA"/>
    <w:rsid w:val="00A52EBE"/>
    <w:rsid w:val="00A568A1"/>
    <w:rsid w:val="00A61FCB"/>
    <w:rsid w:val="00A637DD"/>
    <w:rsid w:val="00A63ABC"/>
    <w:rsid w:val="00A641B5"/>
    <w:rsid w:val="00A64319"/>
    <w:rsid w:val="00A6627A"/>
    <w:rsid w:val="00A66B46"/>
    <w:rsid w:val="00A6798E"/>
    <w:rsid w:val="00A67C1B"/>
    <w:rsid w:val="00A700A8"/>
    <w:rsid w:val="00A72B4D"/>
    <w:rsid w:val="00A73774"/>
    <w:rsid w:val="00A74517"/>
    <w:rsid w:val="00A750CF"/>
    <w:rsid w:val="00A75A7C"/>
    <w:rsid w:val="00A77E8A"/>
    <w:rsid w:val="00A80777"/>
    <w:rsid w:val="00A80D3D"/>
    <w:rsid w:val="00A82610"/>
    <w:rsid w:val="00A84DF9"/>
    <w:rsid w:val="00A859DF"/>
    <w:rsid w:val="00A9092F"/>
    <w:rsid w:val="00A920CC"/>
    <w:rsid w:val="00A92C5E"/>
    <w:rsid w:val="00A941F9"/>
    <w:rsid w:val="00A94A09"/>
    <w:rsid w:val="00A94EFB"/>
    <w:rsid w:val="00AA022F"/>
    <w:rsid w:val="00AA15ED"/>
    <w:rsid w:val="00AA2648"/>
    <w:rsid w:val="00AA2D6A"/>
    <w:rsid w:val="00AA5794"/>
    <w:rsid w:val="00AA6F02"/>
    <w:rsid w:val="00AA74B5"/>
    <w:rsid w:val="00AB023C"/>
    <w:rsid w:val="00AB473B"/>
    <w:rsid w:val="00AB607B"/>
    <w:rsid w:val="00AB6145"/>
    <w:rsid w:val="00AB6436"/>
    <w:rsid w:val="00AB6FA8"/>
    <w:rsid w:val="00AB7B66"/>
    <w:rsid w:val="00AC1830"/>
    <w:rsid w:val="00AC1D1C"/>
    <w:rsid w:val="00AC214D"/>
    <w:rsid w:val="00AC2ED8"/>
    <w:rsid w:val="00AC306D"/>
    <w:rsid w:val="00AC32FC"/>
    <w:rsid w:val="00AC37A2"/>
    <w:rsid w:val="00AC70D6"/>
    <w:rsid w:val="00AC71D3"/>
    <w:rsid w:val="00AD0474"/>
    <w:rsid w:val="00AD06D0"/>
    <w:rsid w:val="00AD1515"/>
    <w:rsid w:val="00AD21CE"/>
    <w:rsid w:val="00AD240E"/>
    <w:rsid w:val="00AD2993"/>
    <w:rsid w:val="00AD3F05"/>
    <w:rsid w:val="00AD464C"/>
    <w:rsid w:val="00AD49CB"/>
    <w:rsid w:val="00AD5F01"/>
    <w:rsid w:val="00AD6BE6"/>
    <w:rsid w:val="00AD7739"/>
    <w:rsid w:val="00AE0776"/>
    <w:rsid w:val="00AE14F2"/>
    <w:rsid w:val="00AE20C8"/>
    <w:rsid w:val="00AE2BE1"/>
    <w:rsid w:val="00AF1F82"/>
    <w:rsid w:val="00AF2752"/>
    <w:rsid w:val="00AF3496"/>
    <w:rsid w:val="00AF42DA"/>
    <w:rsid w:val="00AF46E2"/>
    <w:rsid w:val="00AF48C3"/>
    <w:rsid w:val="00AF67C9"/>
    <w:rsid w:val="00B000BF"/>
    <w:rsid w:val="00B01A4B"/>
    <w:rsid w:val="00B01B95"/>
    <w:rsid w:val="00B0274A"/>
    <w:rsid w:val="00B030AD"/>
    <w:rsid w:val="00B075AF"/>
    <w:rsid w:val="00B11748"/>
    <w:rsid w:val="00B11E3F"/>
    <w:rsid w:val="00B13A20"/>
    <w:rsid w:val="00B14267"/>
    <w:rsid w:val="00B17074"/>
    <w:rsid w:val="00B17F28"/>
    <w:rsid w:val="00B2403E"/>
    <w:rsid w:val="00B25B63"/>
    <w:rsid w:val="00B25D9A"/>
    <w:rsid w:val="00B304CF"/>
    <w:rsid w:val="00B307C8"/>
    <w:rsid w:val="00B31792"/>
    <w:rsid w:val="00B32B01"/>
    <w:rsid w:val="00B33B0C"/>
    <w:rsid w:val="00B366C3"/>
    <w:rsid w:val="00B37339"/>
    <w:rsid w:val="00B4226F"/>
    <w:rsid w:val="00B4637D"/>
    <w:rsid w:val="00B47138"/>
    <w:rsid w:val="00B47157"/>
    <w:rsid w:val="00B4752B"/>
    <w:rsid w:val="00B50CB5"/>
    <w:rsid w:val="00B511BC"/>
    <w:rsid w:val="00B52423"/>
    <w:rsid w:val="00B52840"/>
    <w:rsid w:val="00B52D9E"/>
    <w:rsid w:val="00B53E3E"/>
    <w:rsid w:val="00B55057"/>
    <w:rsid w:val="00B5642C"/>
    <w:rsid w:val="00B57C5C"/>
    <w:rsid w:val="00B611B3"/>
    <w:rsid w:val="00B61788"/>
    <w:rsid w:val="00B61F50"/>
    <w:rsid w:val="00B6235A"/>
    <w:rsid w:val="00B6536D"/>
    <w:rsid w:val="00B65791"/>
    <w:rsid w:val="00B667CF"/>
    <w:rsid w:val="00B66890"/>
    <w:rsid w:val="00B6791B"/>
    <w:rsid w:val="00B704A2"/>
    <w:rsid w:val="00B70EF9"/>
    <w:rsid w:val="00B72D88"/>
    <w:rsid w:val="00B7646B"/>
    <w:rsid w:val="00B7783C"/>
    <w:rsid w:val="00B80988"/>
    <w:rsid w:val="00B81FBB"/>
    <w:rsid w:val="00B82B81"/>
    <w:rsid w:val="00B83AB4"/>
    <w:rsid w:val="00B8629A"/>
    <w:rsid w:val="00B86554"/>
    <w:rsid w:val="00B8662D"/>
    <w:rsid w:val="00B9231D"/>
    <w:rsid w:val="00B928AA"/>
    <w:rsid w:val="00B92E0F"/>
    <w:rsid w:val="00B93398"/>
    <w:rsid w:val="00B93425"/>
    <w:rsid w:val="00B943C9"/>
    <w:rsid w:val="00B9511E"/>
    <w:rsid w:val="00B951EC"/>
    <w:rsid w:val="00B968B8"/>
    <w:rsid w:val="00BA05DD"/>
    <w:rsid w:val="00BA17C0"/>
    <w:rsid w:val="00BA2042"/>
    <w:rsid w:val="00BA67F1"/>
    <w:rsid w:val="00BA6BD5"/>
    <w:rsid w:val="00BA6C08"/>
    <w:rsid w:val="00BA6C86"/>
    <w:rsid w:val="00BA7586"/>
    <w:rsid w:val="00BA7E62"/>
    <w:rsid w:val="00BB09C1"/>
    <w:rsid w:val="00BB0C5A"/>
    <w:rsid w:val="00BB1C1D"/>
    <w:rsid w:val="00BB1FC3"/>
    <w:rsid w:val="00BB2B58"/>
    <w:rsid w:val="00BB3638"/>
    <w:rsid w:val="00BB40BB"/>
    <w:rsid w:val="00BB552D"/>
    <w:rsid w:val="00BB6B78"/>
    <w:rsid w:val="00BB7AB0"/>
    <w:rsid w:val="00BB7C31"/>
    <w:rsid w:val="00BC3537"/>
    <w:rsid w:val="00BC38D1"/>
    <w:rsid w:val="00BC7B54"/>
    <w:rsid w:val="00BD3595"/>
    <w:rsid w:val="00BD4004"/>
    <w:rsid w:val="00BD4934"/>
    <w:rsid w:val="00BD4A0F"/>
    <w:rsid w:val="00BE2ED2"/>
    <w:rsid w:val="00BE6616"/>
    <w:rsid w:val="00BF1F1B"/>
    <w:rsid w:val="00BF2AAA"/>
    <w:rsid w:val="00BF459D"/>
    <w:rsid w:val="00BF4971"/>
    <w:rsid w:val="00BF5AAF"/>
    <w:rsid w:val="00C00D5B"/>
    <w:rsid w:val="00C00E3B"/>
    <w:rsid w:val="00C1338C"/>
    <w:rsid w:val="00C17397"/>
    <w:rsid w:val="00C20F07"/>
    <w:rsid w:val="00C242F8"/>
    <w:rsid w:val="00C26B1D"/>
    <w:rsid w:val="00C27194"/>
    <w:rsid w:val="00C34E1F"/>
    <w:rsid w:val="00C4124F"/>
    <w:rsid w:val="00C4157E"/>
    <w:rsid w:val="00C420D5"/>
    <w:rsid w:val="00C4246D"/>
    <w:rsid w:val="00C43646"/>
    <w:rsid w:val="00C4484D"/>
    <w:rsid w:val="00C46851"/>
    <w:rsid w:val="00C53607"/>
    <w:rsid w:val="00C536E0"/>
    <w:rsid w:val="00C54F9F"/>
    <w:rsid w:val="00C55729"/>
    <w:rsid w:val="00C55845"/>
    <w:rsid w:val="00C61023"/>
    <w:rsid w:val="00C61CF3"/>
    <w:rsid w:val="00C62DAC"/>
    <w:rsid w:val="00C643FE"/>
    <w:rsid w:val="00C66196"/>
    <w:rsid w:val="00C70321"/>
    <w:rsid w:val="00C73765"/>
    <w:rsid w:val="00C73DE1"/>
    <w:rsid w:val="00C7558B"/>
    <w:rsid w:val="00C756DD"/>
    <w:rsid w:val="00C75965"/>
    <w:rsid w:val="00C76D4B"/>
    <w:rsid w:val="00C800C4"/>
    <w:rsid w:val="00C80210"/>
    <w:rsid w:val="00C80FD2"/>
    <w:rsid w:val="00C84576"/>
    <w:rsid w:val="00C8524D"/>
    <w:rsid w:val="00C85CA7"/>
    <w:rsid w:val="00C85DCF"/>
    <w:rsid w:val="00C87439"/>
    <w:rsid w:val="00C90C93"/>
    <w:rsid w:val="00C90F58"/>
    <w:rsid w:val="00C91496"/>
    <w:rsid w:val="00C91D01"/>
    <w:rsid w:val="00C9426C"/>
    <w:rsid w:val="00C95236"/>
    <w:rsid w:val="00C95EF1"/>
    <w:rsid w:val="00C9679D"/>
    <w:rsid w:val="00CA04D0"/>
    <w:rsid w:val="00CA05B6"/>
    <w:rsid w:val="00CA2676"/>
    <w:rsid w:val="00CA3381"/>
    <w:rsid w:val="00CA3609"/>
    <w:rsid w:val="00CA3852"/>
    <w:rsid w:val="00CA3F53"/>
    <w:rsid w:val="00CA6082"/>
    <w:rsid w:val="00CA6E41"/>
    <w:rsid w:val="00CA7990"/>
    <w:rsid w:val="00CA7DE9"/>
    <w:rsid w:val="00CB1D0B"/>
    <w:rsid w:val="00CB3803"/>
    <w:rsid w:val="00CB3F55"/>
    <w:rsid w:val="00CB476E"/>
    <w:rsid w:val="00CB77F2"/>
    <w:rsid w:val="00CC19EB"/>
    <w:rsid w:val="00CC2A4C"/>
    <w:rsid w:val="00CC3B88"/>
    <w:rsid w:val="00CC62D2"/>
    <w:rsid w:val="00CC62DD"/>
    <w:rsid w:val="00CC72A9"/>
    <w:rsid w:val="00CC77C2"/>
    <w:rsid w:val="00CC7955"/>
    <w:rsid w:val="00CD1AA3"/>
    <w:rsid w:val="00CD71B4"/>
    <w:rsid w:val="00CE10D7"/>
    <w:rsid w:val="00CE12D6"/>
    <w:rsid w:val="00CE19E6"/>
    <w:rsid w:val="00CE2553"/>
    <w:rsid w:val="00CE2747"/>
    <w:rsid w:val="00CE7105"/>
    <w:rsid w:val="00CE7B92"/>
    <w:rsid w:val="00CF1662"/>
    <w:rsid w:val="00CF1792"/>
    <w:rsid w:val="00CF3FA9"/>
    <w:rsid w:val="00CF6140"/>
    <w:rsid w:val="00CF6907"/>
    <w:rsid w:val="00CF6E06"/>
    <w:rsid w:val="00CF70A5"/>
    <w:rsid w:val="00CF77CA"/>
    <w:rsid w:val="00CF79FA"/>
    <w:rsid w:val="00D00279"/>
    <w:rsid w:val="00D0097F"/>
    <w:rsid w:val="00D0187A"/>
    <w:rsid w:val="00D05A96"/>
    <w:rsid w:val="00D06FA4"/>
    <w:rsid w:val="00D1169E"/>
    <w:rsid w:val="00D161DA"/>
    <w:rsid w:val="00D24635"/>
    <w:rsid w:val="00D25754"/>
    <w:rsid w:val="00D258AE"/>
    <w:rsid w:val="00D25BC8"/>
    <w:rsid w:val="00D25EF4"/>
    <w:rsid w:val="00D25F5D"/>
    <w:rsid w:val="00D266AC"/>
    <w:rsid w:val="00D2736D"/>
    <w:rsid w:val="00D31223"/>
    <w:rsid w:val="00D33065"/>
    <w:rsid w:val="00D34A29"/>
    <w:rsid w:val="00D350C8"/>
    <w:rsid w:val="00D35D21"/>
    <w:rsid w:val="00D35F7F"/>
    <w:rsid w:val="00D361E5"/>
    <w:rsid w:val="00D36B6E"/>
    <w:rsid w:val="00D405C0"/>
    <w:rsid w:val="00D40EB8"/>
    <w:rsid w:val="00D43272"/>
    <w:rsid w:val="00D461F9"/>
    <w:rsid w:val="00D46602"/>
    <w:rsid w:val="00D47D8E"/>
    <w:rsid w:val="00D47F24"/>
    <w:rsid w:val="00D50C8C"/>
    <w:rsid w:val="00D565FD"/>
    <w:rsid w:val="00D62086"/>
    <w:rsid w:val="00D62492"/>
    <w:rsid w:val="00D62715"/>
    <w:rsid w:val="00D633FA"/>
    <w:rsid w:val="00D673E0"/>
    <w:rsid w:val="00D71001"/>
    <w:rsid w:val="00D714CD"/>
    <w:rsid w:val="00D71A3D"/>
    <w:rsid w:val="00D72DB3"/>
    <w:rsid w:val="00D76517"/>
    <w:rsid w:val="00D76562"/>
    <w:rsid w:val="00D76D42"/>
    <w:rsid w:val="00D77B17"/>
    <w:rsid w:val="00D8229B"/>
    <w:rsid w:val="00D83B02"/>
    <w:rsid w:val="00D83CCB"/>
    <w:rsid w:val="00D83DE0"/>
    <w:rsid w:val="00D85C43"/>
    <w:rsid w:val="00D85C67"/>
    <w:rsid w:val="00D866B0"/>
    <w:rsid w:val="00D86FEE"/>
    <w:rsid w:val="00D879C8"/>
    <w:rsid w:val="00D90AE4"/>
    <w:rsid w:val="00D90D30"/>
    <w:rsid w:val="00D940CE"/>
    <w:rsid w:val="00D964F3"/>
    <w:rsid w:val="00DA0127"/>
    <w:rsid w:val="00DA458E"/>
    <w:rsid w:val="00DB0ED9"/>
    <w:rsid w:val="00DB1281"/>
    <w:rsid w:val="00DB37E3"/>
    <w:rsid w:val="00DB3950"/>
    <w:rsid w:val="00DB5176"/>
    <w:rsid w:val="00DB61D1"/>
    <w:rsid w:val="00DC16EE"/>
    <w:rsid w:val="00DC4124"/>
    <w:rsid w:val="00DC437F"/>
    <w:rsid w:val="00DC4C65"/>
    <w:rsid w:val="00DC54D4"/>
    <w:rsid w:val="00DC5A29"/>
    <w:rsid w:val="00DC68DD"/>
    <w:rsid w:val="00DC729F"/>
    <w:rsid w:val="00DD269C"/>
    <w:rsid w:val="00DD41DA"/>
    <w:rsid w:val="00DD485A"/>
    <w:rsid w:val="00DD575C"/>
    <w:rsid w:val="00DD74C6"/>
    <w:rsid w:val="00DE0843"/>
    <w:rsid w:val="00DE161D"/>
    <w:rsid w:val="00DE2249"/>
    <w:rsid w:val="00DE472F"/>
    <w:rsid w:val="00DE760E"/>
    <w:rsid w:val="00DE775B"/>
    <w:rsid w:val="00DE78D5"/>
    <w:rsid w:val="00DE7D63"/>
    <w:rsid w:val="00DF0F8D"/>
    <w:rsid w:val="00DF1B3B"/>
    <w:rsid w:val="00DF7D59"/>
    <w:rsid w:val="00E00E60"/>
    <w:rsid w:val="00E0122C"/>
    <w:rsid w:val="00E0140F"/>
    <w:rsid w:val="00E01E9E"/>
    <w:rsid w:val="00E022E0"/>
    <w:rsid w:val="00E02568"/>
    <w:rsid w:val="00E033C6"/>
    <w:rsid w:val="00E07DAE"/>
    <w:rsid w:val="00E1037C"/>
    <w:rsid w:val="00E106F6"/>
    <w:rsid w:val="00E11DB5"/>
    <w:rsid w:val="00E139C4"/>
    <w:rsid w:val="00E14BAB"/>
    <w:rsid w:val="00E14BB7"/>
    <w:rsid w:val="00E161C6"/>
    <w:rsid w:val="00E17458"/>
    <w:rsid w:val="00E220CE"/>
    <w:rsid w:val="00E2438F"/>
    <w:rsid w:val="00E24E57"/>
    <w:rsid w:val="00E25844"/>
    <w:rsid w:val="00E26053"/>
    <w:rsid w:val="00E261FF"/>
    <w:rsid w:val="00E305B9"/>
    <w:rsid w:val="00E334EC"/>
    <w:rsid w:val="00E34739"/>
    <w:rsid w:val="00E41614"/>
    <w:rsid w:val="00E439E9"/>
    <w:rsid w:val="00E44198"/>
    <w:rsid w:val="00E4605A"/>
    <w:rsid w:val="00E52452"/>
    <w:rsid w:val="00E52A7C"/>
    <w:rsid w:val="00E53018"/>
    <w:rsid w:val="00E53E13"/>
    <w:rsid w:val="00E5472E"/>
    <w:rsid w:val="00E62B1B"/>
    <w:rsid w:val="00E64440"/>
    <w:rsid w:val="00E6503A"/>
    <w:rsid w:val="00E6652D"/>
    <w:rsid w:val="00E71DA0"/>
    <w:rsid w:val="00E71FB0"/>
    <w:rsid w:val="00E729F5"/>
    <w:rsid w:val="00E7359A"/>
    <w:rsid w:val="00E74603"/>
    <w:rsid w:val="00E74DEF"/>
    <w:rsid w:val="00E81D3C"/>
    <w:rsid w:val="00E84466"/>
    <w:rsid w:val="00E86585"/>
    <w:rsid w:val="00E876FF"/>
    <w:rsid w:val="00E90C3A"/>
    <w:rsid w:val="00E925ED"/>
    <w:rsid w:val="00E93A18"/>
    <w:rsid w:val="00E94C11"/>
    <w:rsid w:val="00E9582B"/>
    <w:rsid w:val="00E966BD"/>
    <w:rsid w:val="00E96AE4"/>
    <w:rsid w:val="00E97D50"/>
    <w:rsid w:val="00EA0F7C"/>
    <w:rsid w:val="00EA2807"/>
    <w:rsid w:val="00EA390F"/>
    <w:rsid w:val="00EA3D79"/>
    <w:rsid w:val="00EA513D"/>
    <w:rsid w:val="00EA58C9"/>
    <w:rsid w:val="00EA6D3C"/>
    <w:rsid w:val="00EB0617"/>
    <w:rsid w:val="00EB0882"/>
    <w:rsid w:val="00EB1FAC"/>
    <w:rsid w:val="00EB1FD6"/>
    <w:rsid w:val="00EB2861"/>
    <w:rsid w:val="00EB414B"/>
    <w:rsid w:val="00EB585D"/>
    <w:rsid w:val="00EB6443"/>
    <w:rsid w:val="00EC0F83"/>
    <w:rsid w:val="00EC2195"/>
    <w:rsid w:val="00EC4041"/>
    <w:rsid w:val="00EC4BDD"/>
    <w:rsid w:val="00EC50A6"/>
    <w:rsid w:val="00EC60E7"/>
    <w:rsid w:val="00EC656D"/>
    <w:rsid w:val="00EC6636"/>
    <w:rsid w:val="00EC7E14"/>
    <w:rsid w:val="00ED15C5"/>
    <w:rsid w:val="00ED1F38"/>
    <w:rsid w:val="00ED3F30"/>
    <w:rsid w:val="00ED5864"/>
    <w:rsid w:val="00ED5C5E"/>
    <w:rsid w:val="00ED79AD"/>
    <w:rsid w:val="00ED7FA0"/>
    <w:rsid w:val="00EE0471"/>
    <w:rsid w:val="00EE062F"/>
    <w:rsid w:val="00EE1B13"/>
    <w:rsid w:val="00EE27F4"/>
    <w:rsid w:val="00EE3607"/>
    <w:rsid w:val="00EE3779"/>
    <w:rsid w:val="00EE4CAD"/>
    <w:rsid w:val="00EE6085"/>
    <w:rsid w:val="00EF0EFD"/>
    <w:rsid w:val="00EF1480"/>
    <w:rsid w:val="00EF27ED"/>
    <w:rsid w:val="00EF352E"/>
    <w:rsid w:val="00EF399D"/>
    <w:rsid w:val="00EF4E4D"/>
    <w:rsid w:val="00EF609E"/>
    <w:rsid w:val="00EF6B13"/>
    <w:rsid w:val="00EF6B80"/>
    <w:rsid w:val="00F00E00"/>
    <w:rsid w:val="00F01991"/>
    <w:rsid w:val="00F04181"/>
    <w:rsid w:val="00F04246"/>
    <w:rsid w:val="00F06737"/>
    <w:rsid w:val="00F0673F"/>
    <w:rsid w:val="00F10348"/>
    <w:rsid w:val="00F1091D"/>
    <w:rsid w:val="00F10D54"/>
    <w:rsid w:val="00F11C81"/>
    <w:rsid w:val="00F13CC6"/>
    <w:rsid w:val="00F14C92"/>
    <w:rsid w:val="00F154E7"/>
    <w:rsid w:val="00F15AFF"/>
    <w:rsid w:val="00F15E24"/>
    <w:rsid w:val="00F17952"/>
    <w:rsid w:val="00F17B1B"/>
    <w:rsid w:val="00F17B37"/>
    <w:rsid w:val="00F20CC4"/>
    <w:rsid w:val="00F216FF"/>
    <w:rsid w:val="00F2587A"/>
    <w:rsid w:val="00F26885"/>
    <w:rsid w:val="00F26DE8"/>
    <w:rsid w:val="00F27F09"/>
    <w:rsid w:val="00F305C9"/>
    <w:rsid w:val="00F3187F"/>
    <w:rsid w:val="00F35D63"/>
    <w:rsid w:val="00F36E2C"/>
    <w:rsid w:val="00F37DF9"/>
    <w:rsid w:val="00F417EF"/>
    <w:rsid w:val="00F4272B"/>
    <w:rsid w:val="00F42CC1"/>
    <w:rsid w:val="00F441DD"/>
    <w:rsid w:val="00F4548A"/>
    <w:rsid w:val="00F45D56"/>
    <w:rsid w:val="00F47A23"/>
    <w:rsid w:val="00F47F02"/>
    <w:rsid w:val="00F51079"/>
    <w:rsid w:val="00F51332"/>
    <w:rsid w:val="00F51704"/>
    <w:rsid w:val="00F5358A"/>
    <w:rsid w:val="00F567AB"/>
    <w:rsid w:val="00F56924"/>
    <w:rsid w:val="00F57143"/>
    <w:rsid w:val="00F61929"/>
    <w:rsid w:val="00F63AE3"/>
    <w:rsid w:val="00F64078"/>
    <w:rsid w:val="00F64365"/>
    <w:rsid w:val="00F6552B"/>
    <w:rsid w:val="00F65AFC"/>
    <w:rsid w:val="00F66D58"/>
    <w:rsid w:val="00F75AF5"/>
    <w:rsid w:val="00F80B8F"/>
    <w:rsid w:val="00F81049"/>
    <w:rsid w:val="00F81E48"/>
    <w:rsid w:val="00F82E5F"/>
    <w:rsid w:val="00F8307A"/>
    <w:rsid w:val="00F83D88"/>
    <w:rsid w:val="00F86802"/>
    <w:rsid w:val="00F86CD2"/>
    <w:rsid w:val="00F86D00"/>
    <w:rsid w:val="00F9022B"/>
    <w:rsid w:val="00F90949"/>
    <w:rsid w:val="00F92166"/>
    <w:rsid w:val="00F931C7"/>
    <w:rsid w:val="00F93A54"/>
    <w:rsid w:val="00F945E1"/>
    <w:rsid w:val="00F94C61"/>
    <w:rsid w:val="00F94CAA"/>
    <w:rsid w:val="00F94EC9"/>
    <w:rsid w:val="00FA2CA5"/>
    <w:rsid w:val="00FA3650"/>
    <w:rsid w:val="00FA4A45"/>
    <w:rsid w:val="00FA56BD"/>
    <w:rsid w:val="00FA7519"/>
    <w:rsid w:val="00FA7C2B"/>
    <w:rsid w:val="00FB3127"/>
    <w:rsid w:val="00FB38A4"/>
    <w:rsid w:val="00FB402A"/>
    <w:rsid w:val="00FB6504"/>
    <w:rsid w:val="00FB73CE"/>
    <w:rsid w:val="00FC07FE"/>
    <w:rsid w:val="00FC1AA1"/>
    <w:rsid w:val="00FC3551"/>
    <w:rsid w:val="00FC4480"/>
    <w:rsid w:val="00FC4D7E"/>
    <w:rsid w:val="00FC5057"/>
    <w:rsid w:val="00FC5C98"/>
    <w:rsid w:val="00FC62F3"/>
    <w:rsid w:val="00FC774F"/>
    <w:rsid w:val="00FC7D45"/>
    <w:rsid w:val="00FD0E20"/>
    <w:rsid w:val="00FD18EE"/>
    <w:rsid w:val="00FD4AB5"/>
    <w:rsid w:val="00FD6266"/>
    <w:rsid w:val="00FE0950"/>
    <w:rsid w:val="00FE27D0"/>
    <w:rsid w:val="00FE2A87"/>
    <w:rsid w:val="00FE4211"/>
    <w:rsid w:val="00FE62FA"/>
    <w:rsid w:val="00FE7308"/>
    <w:rsid w:val="00FE7F6F"/>
    <w:rsid w:val="00FF0253"/>
    <w:rsid w:val="00FF07BF"/>
    <w:rsid w:val="00FF32F6"/>
    <w:rsid w:val="00FF3CCA"/>
    <w:rsid w:val="00FF46B3"/>
    <w:rsid w:val="00FF5A4F"/>
    <w:rsid w:val="00FF61A0"/>
    <w:rsid w:val="00FF66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EAFA"/>
  <w15:docId w15:val="{EEB13031-B986-4722-9959-60912EEC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4B"/>
    <w:rPr>
      <w:rFonts w:ascii="Times New Roman" w:eastAsia="Times New Roman" w:hAnsi="Times New Roman"/>
      <w:sz w:val="24"/>
      <w:szCs w:val="24"/>
    </w:rPr>
  </w:style>
  <w:style w:type="paragraph" w:styleId="3">
    <w:name w:val="heading 3"/>
    <w:basedOn w:val="a"/>
    <w:link w:val="30"/>
    <w:uiPriority w:val="99"/>
    <w:qFormat/>
    <w:rsid w:val="008D5DC7"/>
    <w:pPr>
      <w:keepNext/>
      <w:spacing w:before="100" w:beforeAutospacing="1" w:after="100" w:afterAutospacing="1" w:line="238" w:lineRule="atLeast"/>
      <w:ind w:firstLine="34"/>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D5DC7"/>
    <w:rPr>
      <w:rFonts w:ascii="Times New Roman" w:hAnsi="Times New Roman" w:cs="Times New Roman"/>
      <w:b/>
      <w:bCs/>
      <w:color w:val="000000"/>
      <w:sz w:val="27"/>
      <w:szCs w:val="27"/>
      <w:lang w:eastAsia="ru-RU"/>
    </w:rPr>
  </w:style>
  <w:style w:type="paragraph" w:customStyle="1" w:styleId="a3">
    <w:name w:val="Абзац списку"/>
    <w:basedOn w:val="a"/>
    <w:uiPriority w:val="99"/>
    <w:rsid w:val="00642405"/>
    <w:pPr>
      <w:ind w:left="720"/>
      <w:contextualSpacing/>
    </w:pPr>
  </w:style>
  <w:style w:type="paragraph" w:styleId="a4">
    <w:name w:val="Normal (Web)"/>
    <w:basedOn w:val="a"/>
    <w:uiPriority w:val="99"/>
    <w:rsid w:val="00642405"/>
    <w:pPr>
      <w:spacing w:before="100" w:beforeAutospacing="1" w:after="100" w:afterAutospacing="1"/>
      <w:ind w:firstLine="360"/>
    </w:pPr>
  </w:style>
  <w:style w:type="table" w:styleId="a5">
    <w:name w:val="Table Grid"/>
    <w:basedOn w:val="a1"/>
    <w:uiPriority w:val="99"/>
    <w:rsid w:val="0064240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rsid w:val="00642405"/>
    <w:rPr>
      <w:rFonts w:ascii="Courier New" w:hAnsi="Courier New" w:cs="Courier New"/>
      <w:sz w:val="20"/>
      <w:szCs w:val="20"/>
    </w:rPr>
  </w:style>
  <w:style w:type="character" w:customStyle="1" w:styleId="a7">
    <w:name w:val="Текст Знак"/>
    <w:link w:val="a6"/>
    <w:uiPriority w:val="99"/>
    <w:locked/>
    <w:rsid w:val="00642405"/>
    <w:rPr>
      <w:rFonts w:ascii="Courier New" w:hAnsi="Courier New" w:cs="Courier New"/>
      <w:sz w:val="20"/>
      <w:szCs w:val="20"/>
      <w:lang w:eastAsia="ru-RU"/>
    </w:rPr>
  </w:style>
  <w:style w:type="paragraph" w:customStyle="1" w:styleId="Default">
    <w:name w:val="Default"/>
    <w:uiPriority w:val="99"/>
    <w:rsid w:val="00642405"/>
    <w:pPr>
      <w:autoSpaceDE w:val="0"/>
      <w:autoSpaceDN w:val="0"/>
      <w:adjustRightInd w:val="0"/>
    </w:pPr>
    <w:rPr>
      <w:rFonts w:ascii="Times New Roman" w:eastAsia="Times New Roman" w:hAnsi="Times New Roman"/>
      <w:color w:val="000000"/>
      <w:sz w:val="24"/>
      <w:szCs w:val="24"/>
      <w:lang w:val="uk-UA" w:eastAsia="uk-UA"/>
    </w:rPr>
  </w:style>
  <w:style w:type="paragraph" w:styleId="a8">
    <w:name w:val="List Paragraph"/>
    <w:basedOn w:val="a"/>
    <w:uiPriority w:val="99"/>
    <w:qFormat/>
    <w:rsid w:val="00642405"/>
    <w:pPr>
      <w:spacing w:after="200" w:line="276" w:lineRule="auto"/>
      <w:ind w:left="720"/>
      <w:contextualSpacing/>
    </w:pPr>
    <w:rPr>
      <w:rFonts w:ascii="Calibri" w:eastAsia="Calibri" w:hAnsi="Calibri"/>
      <w:sz w:val="22"/>
      <w:szCs w:val="22"/>
      <w:lang w:eastAsia="en-US"/>
    </w:rPr>
  </w:style>
  <w:style w:type="paragraph" w:customStyle="1" w:styleId="1">
    <w:name w:val="Обычный + Первая строка:  1"/>
    <w:aliases w:val="25 см"/>
    <w:basedOn w:val="a"/>
    <w:uiPriority w:val="99"/>
    <w:rsid w:val="00642405"/>
    <w:pPr>
      <w:ind w:firstLine="708"/>
    </w:pPr>
    <w:rPr>
      <w:lang w:val="uk-UA"/>
    </w:rPr>
  </w:style>
  <w:style w:type="character" w:customStyle="1" w:styleId="a9">
    <w:name w:val="Гіперпосилання"/>
    <w:uiPriority w:val="99"/>
    <w:rsid w:val="00642405"/>
    <w:rPr>
      <w:color w:val="0000FF"/>
      <w:u w:val="single"/>
    </w:rPr>
  </w:style>
  <w:style w:type="paragraph" w:customStyle="1" w:styleId="StyleABC-paragrahinNotesBold1">
    <w:name w:val="Style ABC - paragrah in Notes + Bold1"/>
    <w:basedOn w:val="a"/>
    <w:uiPriority w:val="99"/>
    <w:rsid w:val="00642405"/>
    <w:pPr>
      <w:spacing w:after="240"/>
      <w:jc w:val="both"/>
    </w:pPr>
    <w:rPr>
      <w:rFonts w:ascii="Univers 45 Light" w:hAnsi="Univers 45 Light"/>
      <w:b/>
      <w:bCs/>
      <w:sz w:val="20"/>
      <w:szCs w:val="20"/>
      <w:lang w:val="en-GB" w:eastAsia="en-US"/>
    </w:rPr>
  </w:style>
  <w:style w:type="character" w:customStyle="1" w:styleId="2">
    <w:name w:val="Основной текст (2)"/>
    <w:uiPriority w:val="99"/>
    <w:rsid w:val="00AD6BE6"/>
    <w:rPr>
      <w:rFonts w:ascii="Times New Roman" w:hAnsi="Times New Roman" w:cs="Times New Roman"/>
      <w:color w:val="000000"/>
      <w:spacing w:val="0"/>
      <w:w w:val="100"/>
      <w:position w:val="0"/>
      <w:sz w:val="24"/>
      <w:szCs w:val="24"/>
      <w:u w:val="none"/>
      <w:lang w:val="uk-UA" w:eastAsia="uk-UA"/>
    </w:rPr>
  </w:style>
  <w:style w:type="character" w:customStyle="1" w:styleId="10">
    <w:name w:val="Заголовок №1_"/>
    <w:link w:val="11"/>
    <w:uiPriority w:val="99"/>
    <w:locked/>
    <w:rsid w:val="00AD6BE6"/>
    <w:rPr>
      <w:rFonts w:ascii="Times New Roman" w:hAnsi="Times New Roman" w:cs="Times New Roman"/>
      <w:b/>
      <w:bCs/>
      <w:shd w:val="clear" w:color="auto" w:fill="FFFFFF"/>
    </w:rPr>
  </w:style>
  <w:style w:type="character" w:customStyle="1" w:styleId="20">
    <w:name w:val="Основной текст (2) + Полужирный"/>
    <w:uiPriority w:val="99"/>
    <w:rsid w:val="00AD6BE6"/>
    <w:rPr>
      <w:rFonts w:ascii="Times New Roman" w:hAnsi="Times New Roman" w:cs="Times New Roman"/>
      <w:b/>
      <w:bCs/>
      <w:color w:val="000000"/>
      <w:spacing w:val="0"/>
      <w:w w:val="100"/>
      <w:position w:val="0"/>
      <w:sz w:val="24"/>
      <w:szCs w:val="24"/>
      <w:u w:val="none"/>
      <w:lang w:val="uk-UA" w:eastAsia="uk-UA"/>
    </w:rPr>
  </w:style>
  <w:style w:type="paragraph" w:customStyle="1" w:styleId="11">
    <w:name w:val="Заголовок №1"/>
    <w:basedOn w:val="a"/>
    <w:link w:val="10"/>
    <w:uiPriority w:val="99"/>
    <w:rsid w:val="00AD6BE6"/>
    <w:pPr>
      <w:widowControl w:val="0"/>
      <w:shd w:val="clear" w:color="auto" w:fill="FFFFFF"/>
      <w:spacing w:before="240" w:line="274" w:lineRule="exact"/>
      <w:jc w:val="both"/>
      <w:outlineLvl w:val="0"/>
    </w:pPr>
    <w:rPr>
      <w:b/>
      <w:bCs/>
      <w:sz w:val="22"/>
      <w:szCs w:val="22"/>
      <w:lang w:eastAsia="en-US"/>
    </w:rPr>
  </w:style>
  <w:style w:type="paragraph" w:customStyle="1" w:styleId="12">
    <w:name w:val="Стиль1"/>
    <w:basedOn w:val="a"/>
    <w:uiPriority w:val="99"/>
    <w:rsid w:val="00976E74"/>
    <w:pPr>
      <w:keepLines/>
    </w:pPr>
    <w:rPr>
      <w:rFonts w:ascii="MS Sans Serif" w:hAnsi="MS Sans Serif" w:cs="MS Sans Serif"/>
      <w:color w:val="000000"/>
    </w:rPr>
  </w:style>
  <w:style w:type="character" w:customStyle="1" w:styleId="5">
    <w:name w:val="Основной текст (5)_"/>
    <w:link w:val="50"/>
    <w:uiPriority w:val="99"/>
    <w:locked/>
    <w:rsid w:val="00976E74"/>
    <w:rPr>
      <w:rFonts w:ascii="Times New Roman" w:hAnsi="Times New Roman" w:cs="Times New Roman"/>
      <w:i/>
      <w:iCs/>
      <w:shd w:val="clear" w:color="auto" w:fill="FFFFFF"/>
    </w:rPr>
  </w:style>
  <w:style w:type="paragraph" w:customStyle="1" w:styleId="50">
    <w:name w:val="Основной текст (5)"/>
    <w:basedOn w:val="a"/>
    <w:link w:val="5"/>
    <w:uiPriority w:val="99"/>
    <w:rsid w:val="00976E74"/>
    <w:pPr>
      <w:widowControl w:val="0"/>
      <w:shd w:val="clear" w:color="auto" w:fill="FFFFFF"/>
      <w:spacing w:after="240" w:line="274" w:lineRule="exact"/>
      <w:ind w:firstLine="620"/>
      <w:jc w:val="both"/>
    </w:pPr>
    <w:rPr>
      <w:i/>
      <w:iCs/>
      <w:sz w:val="22"/>
      <w:szCs w:val="22"/>
      <w:lang w:eastAsia="en-US"/>
    </w:rPr>
  </w:style>
  <w:style w:type="character" w:customStyle="1" w:styleId="aa">
    <w:name w:val="Подпись к таблице"/>
    <w:uiPriority w:val="99"/>
    <w:rsid w:val="00451793"/>
    <w:rPr>
      <w:rFonts w:ascii="Times New Roman" w:hAnsi="Times New Roman" w:cs="Times New Roman"/>
      <w:color w:val="000000"/>
      <w:spacing w:val="0"/>
      <w:w w:val="100"/>
      <w:position w:val="0"/>
      <w:sz w:val="24"/>
      <w:szCs w:val="24"/>
      <w:u w:val="single"/>
      <w:lang w:val="uk-UA" w:eastAsia="uk-UA"/>
    </w:rPr>
  </w:style>
  <w:style w:type="paragraph" w:styleId="ab">
    <w:name w:val="Body Text"/>
    <w:basedOn w:val="a"/>
    <w:link w:val="ac"/>
    <w:uiPriority w:val="99"/>
    <w:semiHidden/>
    <w:rsid w:val="00996618"/>
    <w:pPr>
      <w:jc w:val="both"/>
    </w:pPr>
    <w:rPr>
      <w:sz w:val="28"/>
      <w:szCs w:val="20"/>
      <w:lang w:eastAsia="uk-UA"/>
    </w:rPr>
  </w:style>
  <w:style w:type="character" w:customStyle="1" w:styleId="ac">
    <w:name w:val="Основной текст Знак"/>
    <w:link w:val="ab"/>
    <w:uiPriority w:val="99"/>
    <w:semiHidden/>
    <w:locked/>
    <w:rsid w:val="00996618"/>
    <w:rPr>
      <w:rFonts w:ascii="Times New Roman" w:hAnsi="Times New Roman" w:cs="Times New Roman"/>
      <w:sz w:val="20"/>
      <w:szCs w:val="20"/>
      <w:lang w:eastAsia="uk-UA"/>
    </w:rPr>
  </w:style>
  <w:style w:type="character" w:customStyle="1" w:styleId="21">
    <w:name w:val="Основной текст (2)_"/>
    <w:uiPriority w:val="99"/>
    <w:rsid w:val="00996618"/>
    <w:rPr>
      <w:rFonts w:ascii="Times New Roman" w:hAnsi="Times New Roman" w:cs="Times New Roman"/>
      <w:shd w:val="clear" w:color="auto" w:fill="FFFFFF"/>
    </w:rPr>
  </w:style>
  <w:style w:type="character" w:customStyle="1" w:styleId="31">
    <w:name w:val="Основной текст (3)_"/>
    <w:link w:val="32"/>
    <w:uiPriority w:val="99"/>
    <w:locked/>
    <w:rsid w:val="00996618"/>
    <w:rPr>
      <w:rFonts w:ascii="Times New Roman" w:hAnsi="Times New Roman" w:cs="Times New Roman"/>
      <w:b/>
      <w:bCs/>
      <w:shd w:val="clear" w:color="auto" w:fill="FFFFFF"/>
    </w:rPr>
  </w:style>
  <w:style w:type="character" w:customStyle="1" w:styleId="4">
    <w:name w:val="Основной текст (4)_"/>
    <w:link w:val="40"/>
    <w:uiPriority w:val="99"/>
    <w:locked/>
    <w:rsid w:val="0099661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996618"/>
    <w:pPr>
      <w:widowControl w:val="0"/>
      <w:shd w:val="clear" w:color="auto" w:fill="FFFFFF"/>
      <w:spacing w:before="240" w:after="240" w:line="274" w:lineRule="exact"/>
      <w:jc w:val="center"/>
    </w:pPr>
    <w:rPr>
      <w:b/>
      <w:bCs/>
      <w:sz w:val="22"/>
      <w:szCs w:val="22"/>
      <w:lang w:eastAsia="en-US"/>
    </w:rPr>
  </w:style>
  <w:style w:type="paragraph" w:customStyle="1" w:styleId="40">
    <w:name w:val="Основной текст (4)"/>
    <w:basedOn w:val="a"/>
    <w:link w:val="4"/>
    <w:uiPriority w:val="99"/>
    <w:rsid w:val="00996618"/>
    <w:pPr>
      <w:widowControl w:val="0"/>
      <w:shd w:val="clear" w:color="auto" w:fill="FFFFFF"/>
      <w:spacing w:before="240" w:after="60" w:line="240" w:lineRule="atLeast"/>
      <w:jc w:val="both"/>
    </w:pPr>
    <w:rPr>
      <w:b/>
      <w:bCs/>
      <w:i/>
      <w:iCs/>
      <w:sz w:val="22"/>
      <w:szCs w:val="22"/>
      <w:lang w:eastAsia="en-US"/>
    </w:rPr>
  </w:style>
  <w:style w:type="character" w:customStyle="1" w:styleId="210pt">
    <w:name w:val="Основной текст (2) + 10 pt"/>
    <w:aliases w:val="Полужирный"/>
    <w:uiPriority w:val="99"/>
    <w:rsid w:val="007C7E95"/>
    <w:rPr>
      <w:rFonts w:ascii="Times New Roman" w:hAnsi="Times New Roman" w:cs="Times New Roman"/>
      <w:b/>
      <w:bCs/>
      <w:color w:val="000000"/>
      <w:spacing w:val="0"/>
      <w:w w:val="100"/>
      <w:position w:val="0"/>
      <w:sz w:val="20"/>
      <w:szCs w:val="20"/>
      <w:shd w:val="clear" w:color="auto" w:fill="FFFFFF"/>
      <w:lang w:val="uk-UA" w:eastAsia="uk-UA"/>
    </w:rPr>
  </w:style>
  <w:style w:type="paragraph" w:customStyle="1" w:styleId="rvps2">
    <w:name w:val="rvps2"/>
    <w:basedOn w:val="a"/>
    <w:uiPriority w:val="99"/>
    <w:rsid w:val="00F441DD"/>
    <w:pPr>
      <w:spacing w:after="100" w:afterAutospacing="1"/>
    </w:pPr>
  </w:style>
  <w:style w:type="character" w:customStyle="1" w:styleId="rvts46">
    <w:name w:val="rvts46"/>
    <w:uiPriority w:val="99"/>
    <w:rsid w:val="00F441DD"/>
    <w:rPr>
      <w:rFonts w:cs="Times New Roman"/>
    </w:rPr>
  </w:style>
  <w:style w:type="character" w:customStyle="1" w:styleId="rvts11">
    <w:name w:val="rvts11"/>
    <w:uiPriority w:val="99"/>
    <w:rsid w:val="00F441DD"/>
    <w:rPr>
      <w:rFonts w:cs="Times New Roman"/>
    </w:rPr>
  </w:style>
  <w:style w:type="character" w:customStyle="1" w:styleId="ad">
    <w:name w:val="Основной текст_"/>
    <w:link w:val="13"/>
    <w:uiPriority w:val="99"/>
    <w:locked/>
    <w:rsid w:val="006A6E50"/>
    <w:rPr>
      <w:rFonts w:ascii="Times New Roman" w:hAnsi="Times New Roman" w:cs="Times New Roman"/>
      <w:shd w:val="clear" w:color="auto" w:fill="FFFFFF"/>
    </w:rPr>
  </w:style>
  <w:style w:type="paragraph" w:customStyle="1" w:styleId="13">
    <w:name w:val="Основной текст1"/>
    <w:basedOn w:val="a"/>
    <w:link w:val="ad"/>
    <w:uiPriority w:val="99"/>
    <w:rsid w:val="006A6E50"/>
    <w:pPr>
      <w:widowControl w:val="0"/>
      <w:shd w:val="clear" w:color="auto" w:fill="FFFFFF"/>
      <w:spacing w:after="40" w:line="264" w:lineRule="auto"/>
      <w:ind w:firstLine="400"/>
    </w:pPr>
    <w:rPr>
      <w:sz w:val="22"/>
      <w:szCs w:val="22"/>
      <w:lang w:eastAsia="en-US"/>
    </w:rPr>
  </w:style>
  <w:style w:type="character" w:styleId="ae">
    <w:name w:val="Hyperlink"/>
    <w:uiPriority w:val="99"/>
    <w:semiHidden/>
    <w:rsid w:val="008D5DC7"/>
    <w:rPr>
      <w:rFonts w:cs="Times New Roman"/>
      <w:color w:val="0000FF"/>
      <w:u w:val="none"/>
      <w:effect w:val="none"/>
    </w:rPr>
  </w:style>
  <w:style w:type="paragraph" w:customStyle="1" w:styleId="western">
    <w:name w:val="western"/>
    <w:basedOn w:val="a"/>
    <w:uiPriority w:val="99"/>
    <w:rsid w:val="008D5DC7"/>
    <w:pPr>
      <w:spacing w:before="100" w:beforeAutospacing="1" w:after="119"/>
    </w:pPr>
    <w:rPr>
      <w:color w:val="000000"/>
    </w:rPr>
  </w:style>
  <w:style w:type="character" w:styleId="af">
    <w:name w:val="Strong"/>
    <w:uiPriority w:val="99"/>
    <w:qFormat/>
    <w:rsid w:val="002103DA"/>
    <w:rPr>
      <w:rFonts w:cs="Times New Roman"/>
      <w:b/>
      <w:bCs/>
    </w:rPr>
  </w:style>
  <w:style w:type="paragraph" w:styleId="22">
    <w:name w:val="Body Text 2"/>
    <w:basedOn w:val="a"/>
    <w:link w:val="23"/>
    <w:uiPriority w:val="99"/>
    <w:semiHidden/>
    <w:rsid w:val="00EE3607"/>
    <w:pPr>
      <w:spacing w:after="120" w:line="480" w:lineRule="auto"/>
    </w:pPr>
  </w:style>
  <w:style w:type="character" w:customStyle="1" w:styleId="23">
    <w:name w:val="Основной текст 2 Знак"/>
    <w:link w:val="22"/>
    <w:uiPriority w:val="99"/>
    <w:semiHidden/>
    <w:locked/>
    <w:rsid w:val="00EE3607"/>
    <w:rPr>
      <w:rFonts w:ascii="Times New Roman" w:hAnsi="Times New Roman" w:cs="Times New Roman"/>
      <w:sz w:val="24"/>
      <w:szCs w:val="24"/>
      <w:lang w:eastAsia="ru-RU"/>
    </w:rPr>
  </w:style>
  <w:style w:type="paragraph" w:styleId="af0">
    <w:name w:val="header"/>
    <w:basedOn w:val="a"/>
    <w:link w:val="af1"/>
    <w:uiPriority w:val="99"/>
    <w:rsid w:val="00EE3607"/>
    <w:pPr>
      <w:tabs>
        <w:tab w:val="center" w:pos="4153"/>
        <w:tab w:val="right" w:pos="8306"/>
      </w:tabs>
      <w:autoSpaceDE w:val="0"/>
      <w:autoSpaceDN w:val="0"/>
      <w:adjustRightInd w:val="0"/>
    </w:pPr>
    <w:rPr>
      <w:sz w:val="20"/>
      <w:szCs w:val="20"/>
      <w:lang w:val="uk-UA"/>
    </w:rPr>
  </w:style>
  <w:style w:type="character" w:customStyle="1" w:styleId="af1">
    <w:name w:val="Верхний колонтитул Знак"/>
    <w:link w:val="af0"/>
    <w:uiPriority w:val="99"/>
    <w:locked/>
    <w:rsid w:val="00EE3607"/>
    <w:rPr>
      <w:rFonts w:ascii="Times New Roman" w:hAnsi="Times New Roman" w:cs="Times New Roman"/>
      <w:sz w:val="20"/>
      <w:szCs w:val="20"/>
      <w:lang w:val="uk-UA" w:eastAsia="ru-RU"/>
    </w:rPr>
  </w:style>
  <w:style w:type="paragraph" w:styleId="af2">
    <w:name w:val="Block Text"/>
    <w:basedOn w:val="a"/>
    <w:uiPriority w:val="99"/>
    <w:rsid w:val="00EE3607"/>
    <w:pPr>
      <w:ind w:left="113" w:right="113"/>
    </w:pPr>
    <w:rPr>
      <w:szCs w:val="20"/>
      <w:lang w:val="uk-UA"/>
    </w:rPr>
  </w:style>
  <w:style w:type="character" w:customStyle="1" w:styleId="apple-converted-space">
    <w:name w:val="apple-converted-space"/>
    <w:uiPriority w:val="99"/>
    <w:rsid w:val="000D4C8F"/>
    <w:rPr>
      <w:rFonts w:cs="Times New Roman"/>
    </w:rPr>
  </w:style>
  <w:style w:type="paragraph" w:styleId="af3">
    <w:name w:val="footer"/>
    <w:basedOn w:val="a"/>
    <w:link w:val="af4"/>
    <w:uiPriority w:val="99"/>
    <w:unhideWhenUsed/>
    <w:rsid w:val="003F6946"/>
    <w:pPr>
      <w:tabs>
        <w:tab w:val="center" w:pos="4677"/>
        <w:tab w:val="right" w:pos="9355"/>
      </w:tabs>
    </w:pPr>
  </w:style>
  <w:style w:type="character" w:customStyle="1" w:styleId="af4">
    <w:name w:val="Нижний колонтитул Знак"/>
    <w:link w:val="af3"/>
    <w:uiPriority w:val="99"/>
    <w:rsid w:val="003F6946"/>
    <w:rPr>
      <w:rFonts w:ascii="Times New Roman" w:eastAsia="Times New Roman" w:hAnsi="Times New Roman"/>
      <w:sz w:val="24"/>
      <w:szCs w:val="24"/>
      <w:lang w:val="ru-RU" w:eastAsia="ru-RU"/>
    </w:rPr>
  </w:style>
  <w:style w:type="character" w:customStyle="1" w:styleId="14">
    <w:name w:val="Неразрешенное упоминание1"/>
    <w:basedOn w:val="a0"/>
    <w:uiPriority w:val="99"/>
    <w:semiHidden/>
    <w:unhideWhenUsed/>
    <w:rsid w:val="007F7C14"/>
    <w:rPr>
      <w:color w:val="605E5C"/>
      <w:shd w:val="clear" w:color="auto" w:fill="E1DFDD"/>
    </w:rPr>
  </w:style>
  <w:style w:type="paragraph" w:styleId="af5">
    <w:name w:val="Balloon Text"/>
    <w:basedOn w:val="a"/>
    <w:link w:val="af6"/>
    <w:uiPriority w:val="99"/>
    <w:semiHidden/>
    <w:unhideWhenUsed/>
    <w:rsid w:val="00261B31"/>
    <w:rPr>
      <w:rFonts w:ascii="Segoe UI" w:hAnsi="Segoe UI" w:cs="Segoe UI"/>
      <w:sz w:val="18"/>
      <w:szCs w:val="18"/>
    </w:rPr>
  </w:style>
  <w:style w:type="character" w:customStyle="1" w:styleId="af6">
    <w:name w:val="Текст выноски Знак"/>
    <w:basedOn w:val="a0"/>
    <w:link w:val="af5"/>
    <w:uiPriority w:val="99"/>
    <w:semiHidden/>
    <w:rsid w:val="00261B31"/>
    <w:rPr>
      <w:rFonts w:ascii="Segoe UI" w:eastAsia="Times New Roman" w:hAnsi="Segoe UI" w:cs="Segoe UI"/>
      <w:sz w:val="18"/>
      <w:szCs w:val="18"/>
    </w:rPr>
  </w:style>
  <w:style w:type="paragraph" w:styleId="af7">
    <w:name w:val="No Spacing"/>
    <w:uiPriority w:val="1"/>
    <w:qFormat/>
    <w:rsid w:val="00832A6E"/>
    <w:rPr>
      <w:rFonts w:eastAsia="Times New Roman"/>
      <w:sz w:val="22"/>
      <w:szCs w:val="22"/>
    </w:rPr>
  </w:style>
  <w:style w:type="character" w:styleId="af8">
    <w:name w:val="annotation reference"/>
    <w:basedOn w:val="a0"/>
    <w:uiPriority w:val="99"/>
    <w:semiHidden/>
    <w:unhideWhenUsed/>
    <w:rsid w:val="00980979"/>
    <w:rPr>
      <w:sz w:val="16"/>
      <w:szCs w:val="16"/>
    </w:rPr>
  </w:style>
  <w:style w:type="paragraph" w:styleId="af9">
    <w:name w:val="annotation text"/>
    <w:basedOn w:val="a"/>
    <w:link w:val="afa"/>
    <w:uiPriority w:val="99"/>
    <w:semiHidden/>
    <w:unhideWhenUsed/>
    <w:rsid w:val="00980979"/>
    <w:rPr>
      <w:sz w:val="20"/>
      <w:szCs w:val="20"/>
    </w:rPr>
  </w:style>
  <w:style w:type="character" w:customStyle="1" w:styleId="afa">
    <w:name w:val="Текст примечания Знак"/>
    <w:basedOn w:val="a0"/>
    <w:link w:val="af9"/>
    <w:uiPriority w:val="99"/>
    <w:semiHidden/>
    <w:rsid w:val="00980979"/>
    <w:rPr>
      <w:rFonts w:ascii="Times New Roman" w:eastAsia="Times New Roman" w:hAnsi="Times New Roman"/>
    </w:rPr>
  </w:style>
  <w:style w:type="paragraph" w:styleId="afb">
    <w:name w:val="annotation subject"/>
    <w:basedOn w:val="af9"/>
    <w:next w:val="af9"/>
    <w:link w:val="afc"/>
    <w:uiPriority w:val="99"/>
    <w:semiHidden/>
    <w:unhideWhenUsed/>
    <w:rsid w:val="00980979"/>
    <w:rPr>
      <w:b/>
      <w:bCs/>
    </w:rPr>
  </w:style>
  <w:style w:type="character" w:customStyle="1" w:styleId="afc">
    <w:name w:val="Тема примечания Знак"/>
    <w:basedOn w:val="afa"/>
    <w:link w:val="afb"/>
    <w:uiPriority w:val="99"/>
    <w:semiHidden/>
    <w:rsid w:val="00980979"/>
    <w:rPr>
      <w:rFonts w:ascii="Times New Roman" w:eastAsia="Times New Roman" w:hAnsi="Times New Roman"/>
      <w:b/>
      <w:bCs/>
    </w:rPr>
  </w:style>
  <w:style w:type="character" w:styleId="afd">
    <w:name w:val="Unresolved Mention"/>
    <w:basedOn w:val="a0"/>
    <w:uiPriority w:val="99"/>
    <w:semiHidden/>
    <w:unhideWhenUsed/>
    <w:rsid w:val="00E9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1389">
      <w:bodyDiv w:val="1"/>
      <w:marLeft w:val="0"/>
      <w:marRight w:val="0"/>
      <w:marTop w:val="0"/>
      <w:marBottom w:val="0"/>
      <w:divBdr>
        <w:top w:val="none" w:sz="0" w:space="0" w:color="auto"/>
        <w:left w:val="none" w:sz="0" w:space="0" w:color="auto"/>
        <w:bottom w:val="none" w:sz="0" w:space="0" w:color="auto"/>
        <w:right w:val="none" w:sz="0" w:space="0" w:color="auto"/>
      </w:divBdr>
    </w:div>
    <w:div w:id="169877568">
      <w:bodyDiv w:val="1"/>
      <w:marLeft w:val="0"/>
      <w:marRight w:val="0"/>
      <w:marTop w:val="0"/>
      <w:marBottom w:val="0"/>
      <w:divBdr>
        <w:top w:val="none" w:sz="0" w:space="0" w:color="auto"/>
        <w:left w:val="none" w:sz="0" w:space="0" w:color="auto"/>
        <w:bottom w:val="none" w:sz="0" w:space="0" w:color="auto"/>
        <w:right w:val="none" w:sz="0" w:space="0" w:color="auto"/>
      </w:divBdr>
    </w:div>
    <w:div w:id="1162625638">
      <w:marLeft w:val="0"/>
      <w:marRight w:val="0"/>
      <w:marTop w:val="0"/>
      <w:marBottom w:val="0"/>
      <w:divBdr>
        <w:top w:val="none" w:sz="0" w:space="0" w:color="auto"/>
        <w:left w:val="none" w:sz="0" w:space="0" w:color="auto"/>
        <w:bottom w:val="none" w:sz="0" w:space="0" w:color="auto"/>
        <w:right w:val="none" w:sz="0" w:space="0" w:color="auto"/>
      </w:divBdr>
    </w:div>
    <w:div w:id="1162625639">
      <w:marLeft w:val="0"/>
      <w:marRight w:val="0"/>
      <w:marTop w:val="0"/>
      <w:marBottom w:val="0"/>
      <w:divBdr>
        <w:top w:val="none" w:sz="0" w:space="0" w:color="auto"/>
        <w:left w:val="none" w:sz="0" w:space="0" w:color="auto"/>
        <w:bottom w:val="none" w:sz="0" w:space="0" w:color="auto"/>
        <w:right w:val="none" w:sz="0" w:space="0" w:color="auto"/>
      </w:divBdr>
    </w:div>
    <w:div w:id="1162625640">
      <w:marLeft w:val="0"/>
      <w:marRight w:val="0"/>
      <w:marTop w:val="0"/>
      <w:marBottom w:val="0"/>
      <w:divBdr>
        <w:top w:val="none" w:sz="0" w:space="0" w:color="auto"/>
        <w:left w:val="none" w:sz="0" w:space="0" w:color="auto"/>
        <w:bottom w:val="none" w:sz="0" w:space="0" w:color="auto"/>
        <w:right w:val="none" w:sz="0" w:space="0" w:color="auto"/>
      </w:divBdr>
    </w:div>
    <w:div w:id="1162625641">
      <w:marLeft w:val="0"/>
      <w:marRight w:val="0"/>
      <w:marTop w:val="0"/>
      <w:marBottom w:val="0"/>
      <w:divBdr>
        <w:top w:val="none" w:sz="0" w:space="0" w:color="auto"/>
        <w:left w:val="none" w:sz="0" w:space="0" w:color="auto"/>
        <w:bottom w:val="none" w:sz="0" w:space="0" w:color="auto"/>
        <w:right w:val="none" w:sz="0" w:space="0" w:color="auto"/>
      </w:divBdr>
    </w:div>
    <w:div w:id="1162625642">
      <w:marLeft w:val="0"/>
      <w:marRight w:val="0"/>
      <w:marTop w:val="0"/>
      <w:marBottom w:val="0"/>
      <w:divBdr>
        <w:top w:val="none" w:sz="0" w:space="0" w:color="auto"/>
        <w:left w:val="none" w:sz="0" w:space="0" w:color="auto"/>
        <w:bottom w:val="none" w:sz="0" w:space="0" w:color="auto"/>
        <w:right w:val="none" w:sz="0" w:space="0" w:color="auto"/>
      </w:divBdr>
    </w:div>
    <w:div w:id="1162625643">
      <w:marLeft w:val="0"/>
      <w:marRight w:val="0"/>
      <w:marTop w:val="0"/>
      <w:marBottom w:val="0"/>
      <w:divBdr>
        <w:top w:val="none" w:sz="0" w:space="0" w:color="auto"/>
        <w:left w:val="none" w:sz="0" w:space="0" w:color="auto"/>
        <w:bottom w:val="none" w:sz="0" w:space="0" w:color="auto"/>
        <w:right w:val="none" w:sz="0" w:space="0" w:color="auto"/>
      </w:divBdr>
    </w:div>
    <w:div w:id="1162625644">
      <w:marLeft w:val="0"/>
      <w:marRight w:val="0"/>
      <w:marTop w:val="0"/>
      <w:marBottom w:val="0"/>
      <w:divBdr>
        <w:top w:val="none" w:sz="0" w:space="0" w:color="auto"/>
        <w:left w:val="none" w:sz="0" w:space="0" w:color="auto"/>
        <w:bottom w:val="none" w:sz="0" w:space="0" w:color="auto"/>
        <w:right w:val="none" w:sz="0" w:space="0" w:color="auto"/>
      </w:divBdr>
    </w:div>
    <w:div w:id="1162625645">
      <w:marLeft w:val="0"/>
      <w:marRight w:val="0"/>
      <w:marTop w:val="0"/>
      <w:marBottom w:val="0"/>
      <w:divBdr>
        <w:top w:val="none" w:sz="0" w:space="0" w:color="auto"/>
        <w:left w:val="none" w:sz="0" w:space="0" w:color="auto"/>
        <w:bottom w:val="none" w:sz="0" w:space="0" w:color="auto"/>
        <w:right w:val="none" w:sz="0" w:space="0" w:color="auto"/>
      </w:divBdr>
    </w:div>
    <w:div w:id="1162625646">
      <w:marLeft w:val="0"/>
      <w:marRight w:val="0"/>
      <w:marTop w:val="0"/>
      <w:marBottom w:val="0"/>
      <w:divBdr>
        <w:top w:val="none" w:sz="0" w:space="0" w:color="auto"/>
        <w:left w:val="none" w:sz="0" w:space="0" w:color="auto"/>
        <w:bottom w:val="none" w:sz="0" w:space="0" w:color="auto"/>
        <w:right w:val="none" w:sz="0" w:space="0" w:color="auto"/>
      </w:divBdr>
    </w:div>
    <w:div w:id="1162625647">
      <w:marLeft w:val="0"/>
      <w:marRight w:val="0"/>
      <w:marTop w:val="0"/>
      <w:marBottom w:val="0"/>
      <w:divBdr>
        <w:top w:val="none" w:sz="0" w:space="0" w:color="auto"/>
        <w:left w:val="none" w:sz="0" w:space="0" w:color="auto"/>
        <w:bottom w:val="none" w:sz="0" w:space="0" w:color="auto"/>
        <w:right w:val="none" w:sz="0" w:space="0" w:color="auto"/>
      </w:divBdr>
    </w:div>
    <w:div w:id="1162625648">
      <w:marLeft w:val="0"/>
      <w:marRight w:val="0"/>
      <w:marTop w:val="0"/>
      <w:marBottom w:val="0"/>
      <w:divBdr>
        <w:top w:val="none" w:sz="0" w:space="0" w:color="auto"/>
        <w:left w:val="none" w:sz="0" w:space="0" w:color="auto"/>
        <w:bottom w:val="none" w:sz="0" w:space="0" w:color="auto"/>
        <w:right w:val="none" w:sz="0" w:space="0" w:color="auto"/>
      </w:divBdr>
    </w:div>
    <w:div w:id="1162625649">
      <w:marLeft w:val="0"/>
      <w:marRight w:val="0"/>
      <w:marTop w:val="0"/>
      <w:marBottom w:val="0"/>
      <w:divBdr>
        <w:top w:val="none" w:sz="0" w:space="0" w:color="auto"/>
        <w:left w:val="none" w:sz="0" w:space="0" w:color="auto"/>
        <w:bottom w:val="none" w:sz="0" w:space="0" w:color="auto"/>
        <w:right w:val="none" w:sz="0" w:space="0" w:color="auto"/>
      </w:divBdr>
    </w:div>
    <w:div w:id="1162625650">
      <w:marLeft w:val="0"/>
      <w:marRight w:val="0"/>
      <w:marTop w:val="0"/>
      <w:marBottom w:val="0"/>
      <w:divBdr>
        <w:top w:val="none" w:sz="0" w:space="0" w:color="auto"/>
        <w:left w:val="none" w:sz="0" w:space="0" w:color="auto"/>
        <w:bottom w:val="none" w:sz="0" w:space="0" w:color="auto"/>
        <w:right w:val="none" w:sz="0" w:space="0" w:color="auto"/>
      </w:divBdr>
    </w:div>
    <w:div w:id="1162625651">
      <w:marLeft w:val="0"/>
      <w:marRight w:val="0"/>
      <w:marTop w:val="0"/>
      <w:marBottom w:val="0"/>
      <w:divBdr>
        <w:top w:val="none" w:sz="0" w:space="0" w:color="auto"/>
        <w:left w:val="none" w:sz="0" w:space="0" w:color="auto"/>
        <w:bottom w:val="none" w:sz="0" w:space="0" w:color="auto"/>
        <w:right w:val="none" w:sz="0" w:space="0" w:color="auto"/>
      </w:divBdr>
    </w:div>
    <w:div w:id="14156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nk.gov.ua/files/Procentlastb_DEP.x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ris-a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a@evris.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1F82E24AB0A7204AA1709089D5C8BB6A" ma:contentTypeVersion="11" ma:contentTypeDescription="Створення нового документа." ma:contentTypeScope="" ma:versionID="95a016be8bfa8a49b4c92c634531270f">
  <xsd:schema xmlns:xsd="http://www.w3.org/2001/XMLSchema" xmlns:xs="http://www.w3.org/2001/XMLSchema" xmlns:p="http://schemas.microsoft.com/office/2006/metadata/properties" xmlns:ns3="6a0d5dfc-b364-4a9a-9a36-8fa8c31499b8" xmlns:ns4="62bba858-3fb6-449e-9a96-664a54dcff24" targetNamespace="http://schemas.microsoft.com/office/2006/metadata/properties" ma:root="true" ma:fieldsID="92555554c27f72a9ac89596ffb8203a0" ns3:_="" ns4:_="">
    <xsd:import namespace="6a0d5dfc-b364-4a9a-9a36-8fa8c31499b8"/>
    <xsd:import namespace="62bba858-3fb6-449e-9a96-664a54dcf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5dfc-b364-4a9a-9a36-8fa8c31499b8"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ba858-3fb6-449e-9a96-664a54dcf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28673-AC45-4F4E-BE2B-F7A61E05A9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0249E-0B4E-4C87-8892-7D5F8324B623}">
  <ds:schemaRefs>
    <ds:schemaRef ds:uri="http://schemas.openxmlformats.org/officeDocument/2006/bibliography"/>
  </ds:schemaRefs>
</ds:datastoreItem>
</file>

<file path=customXml/itemProps3.xml><?xml version="1.0" encoding="utf-8"?>
<ds:datastoreItem xmlns:ds="http://schemas.openxmlformats.org/officeDocument/2006/customXml" ds:itemID="{4E516DC0-9342-4D43-8F13-D399AD84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5dfc-b364-4a9a-9a36-8fa8c31499b8"/>
    <ds:schemaRef ds:uri="62bba858-3fb6-449e-9a96-664a54dc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375E0-68DB-4083-B347-975DA8DBC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22</Pages>
  <Words>9124</Words>
  <Characters>60667</Characters>
  <Application>Microsoft Office Word</Application>
  <DocSecurity>0</DocSecurity>
  <Lines>505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Viktotriia Yeremenko</cp:lastModifiedBy>
  <cp:revision>294</cp:revision>
  <cp:lastPrinted>2021-04-30T20:54:00Z</cp:lastPrinted>
  <dcterms:created xsi:type="dcterms:W3CDTF">2020-12-10T04:37:00Z</dcterms:created>
  <dcterms:modified xsi:type="dcterms:W3CDTF">2021-11-05T13:01:00Z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0x0101001F82E24AB0A7204AA1709089D5C8BB6A</vt:lpwstr>
  </property>
</Properties>
</file>